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2026</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EQT CORPORATION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001-3551</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25-0464690</w:t>
            </w:r>
          </w:p>
        </w:tc>
      </w:tr>
      <w:tr>
        <w:trPr>
          <w:trHeight w:val="189"/>
        </w:trPr>
        <w:tc>
          <w:tcPr>
            <w:tcW w:w="2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3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164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of incorporation)</w:t>
            </w: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204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2200 Energy Drive</w:t>
            </w:r>
          </w:p>
        </w:tc>
        <w:tc>
          <w:tcPr>
            <w:tcW w:w="164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tc>
        <w:tc>
          <w:tcPr>
            <w:tcW w:w="1640" w:type="dxa"/>
            <w:vAlign w:val="bottom"/>
          </w:tcPr>
          <w:p>
            <w:pPr>
              <w:spacing w:after="0"/>
              <w:rPr>
                <w:sz w:val="19"/>
                <w:szCs w:val="19"/>
                <w:color w:val="auto"/>
              </w:rPr>
            </w:pPr>
          </w:p>
        </w:tc>
      </w:tr>
      <w:tr>
        <w:trPr>
          <w:trHeight w:val="234"/>
        </w:trPr>
        <w:tc>
          <w:tcPr>
            <w:tcW w:w="2040" w:type="dxa"/>
            <w:vAlign w:val="bottom"/>
          </w:tcPr>
          <w:p>
            <w:pPr>
              <w:spacing w:after="0"/>
              <w:rPr>
                <w:sz w:val="20"/>
                <w:szCs w:val="20"/>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40" w:type="dxa"/>
            <w:vAlign w:val="bottom"/>
          </w:tcPr>
          <w:p>
            <w:pPr>
              <w:spacing w:after="0"/>
              <w:rPr>
                <w:sz w:val="20"/>
                <w:szCs w:val="20"/>
                <w:color w:val="auto"/>
              </w:rPr>
            </w:pPr>
          </w:p>
        </w:tc>
      </w:tr>
      <w:tr>
        <w:trPr>
          <w:trHeight w:val="459"/>
        </w:trPr>
        <w:tc>
          <w:tcPr>
            <w:tcW w:w="204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(412) 553-5700</w:t>
            </w:r>
          </w:p>
        </w:tc>
        <w:tc>
          <w:tcPr>
            <w:tcW w:w="1640" w:type="dxa"/>
            <w:vAlign w:val="bottom"/>
          </w:tcPr>
          <w:p>
            <w:pPr>
              <w:spacing w:after="0"/>
              <w:rPr>
                <w:sz w:val="24"/>
                <w:szCs w:val="24"/>
                <w:color w:val="auto"/>
              </w:rPr>
            </w:pPr>
          </w:p>
        </w:tc>
      </w:tr>
      <w:tr>
        <w:trPr>
          <w:trHeight w:val="441"/>
        </w:trPr>
        <w:tc>
          <w:tcPr>
            <w:tcW w:w="204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4"/>
        </w:trPr>
        <w:tc>
          <w:tcPr>
            <w:tcW w:w="204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40" w:type="dxa"/>
            <w:vAlign w:val="bottom"/>
          </w:tcPr>
          <w:p>
            <w:pPr>
              <w:spacing w:after="0"/>
              <w:rPr>
                <w:sz w:val="20"/>
                <w:szCs w:val="20"/>
                <w:color w:val="auto"/>
              </w:rPr>
            </w:pPr>
          </w:p>
        </w:tc>
      </w:tr>
    </w:tbl>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7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3"/>
                <w:szCs w:val="23"/>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5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30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EQT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105"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Today, EQT Corporation ("EQT") issued a news release announcing its third quarter 2026 earnings. A copy of EQT’s news release is furnished herewith as Exhibit 99.1 and is incorporated herein by reference.</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Item 2.02, including the accompanying Exhibit 99.1, shall be deemed "furnished" and shall not be deemed "filed" for purposes of Section 18 of the Securities Exchange Act of 1934, as amended (the "Exchange Act"), or otherwise subject to the liability of such section, nor shall it be incorporated by reference in any filing made by EQT pursuant to the Securities Act of 1933, as amended, or the Exchange Act, regardless of the general incorporation language of such filing, except as expressly set forth by specific reference in such filing.</w:t>
      </w:r>
    </w:p>
    <w:p>
      <w:pPr>
        <w:spacing w:after="0" w:line="16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04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080" w:type="dxa"/>
            <w:vAlign w:val="bottom"/>
            <w:tcBorders>
              <w:top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17"/>
                <w:szCs w:val="17"/>
                <w:color w:val="auto"/>
              </w:rPr>
            </w:pPr>
          </w:p>
        </w:tc>
        <w:tc>
          <w:tcPr>
            <w:tcW w:w="904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News Release, dated October 27, 2026, issued by EQT Corporation (furnished solely for purposes of Item 2.02 of this Form</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r>
      <w:tr>
        <w:trPr>
          <w:trHeight w:val="238"/>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211" w:right="339" w:bottom="1440" w:gutter="0" w:footer="0" w:header="0"/>
        </w:sectPr>
      </w:pPr>
    </w:p>
    <w:bookmarkStart w:id="2" w:name="page3"/>
    <w:bookmarkEnd w:id="2"/>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EQT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68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Jeremy T. Knop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68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Jeremy T. Knop</w:t>
      </w:r>
    </w:p>
    <w:p>
      <w:pPr>
        <w:spacing w:after="0" w:line="1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27, 2026</w:t>
      </w:r>
    </w:p>
    <w:p>
      <w:pPr>
        <w:sectPr>
          <w:pgSz w:w="11900" w:h="16838" w:orient="portrait"/>
          <w:cols w:equalWidth="0" w:num="1">
            <w:col w:w="11200"/>
          </w:cols>
          <w:pgMar w:left="320" w:top="1440" w:right="379" w:bottom="1440" w:gutter="0" w:footer="0" w:header="0"/>
        </w:sectPr>
      </w:pPr>
    </w:p>
    <w:bookmarkStart w:id="3" w:name="page4"/>
    <w:bookmarkEnd w:id="3"/>
    <w:p>
      <w:pPr>
        <w:jc w:val="center"/>
        <w:spacing w:after="0"/>
        <w:rPr>
          <w:sz w:val="20"/>
          <w:szCs w:val="20"/>
          <w:color w:val="auto"/>
        </w:rPr>
      </w:pPr>
      <w:r>
        <w:rPr>
          <w:rFonts w:ascii="Verdana" w:cs="Verdana" w:eastAsia="Verdana" w:hAnsi="Verdana"/>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EQT Reports Third Quarter 2026 Results</w:t>
      </w:r>
    </w:p>
    <w:p>
      <w:pPr>
        <w:spacing w:after="0" w:line="228" w:lineRule="exact"/>
        <w:rPr>
          <w:sz w:val="20"/>
          <w:szCs w:val="20"/>
          <w:color w:val="auto"/>
        </w:rPr>
      </w:pPr>
    </w:p>
    <w:p>
      <w:pPr>
        <w:spacing w:after="0" w:line="254" w:lineRule="auto"/>
        <w:rPr>
          <w:sz w:val="20"/>
          <w:szCs w:val="20"/>
          <w:color w:val="auto"/>
        </w:rPr>
      </w:pPr>
      <w:r>
        <w:rPr>
          <w:rFonts w:ascii="Verdana" w:cs="Verdana" w:eastAsia="Verdana" w:hAnsi="Verdana"/>
          <w:sz w:val="18"/>
          <w:szCs w:val="18"/>
          <w:b w:val="1"/>
          <w:bCs w:val="1"/>
          <w:color w:val="auto"/>
        </w:rPr>
        <w:t xml:space="preserve">CANONSBURG, October 27, 2026 </w:t>
      </w:r>
      <w:r>
        <w:rPr>
          <w:rFonts w:ascii="Verdana" w:cs="Verdana" w:eastAsia="Verdana" w:hAnsi="Verdana"/>
          <w:sz w:val="18"/>
          <w:szCs w:val="18"/>
          <w:color w:val="auto"/>
        </w:rPr>
        <w:t>-- EQT Corporation (NYSE: EQT) today announced financial and operational results for</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the third quarter of 2026.</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Third Quarter 2026 Results:</w:t>
      </w:r>
    </w:p>
    <w:p>
      <w:pPr>
        <w:spacing w:after="0" w:line="2" w:lineRule="exact"/>
        <w:rPr>
          <w:sz w:val="20"/>
          <w:szCs w:val="20"/>
          <w:color w:val="auto"/>
        </w:rPr>
      </w:pPr>
    </w:p>
    <w:p>
      <w:pPr>
        <w:ind w:left="640" w:hanging="308"/>
        <w:spacing w:after="0"/>
        <w:tabs>
          <w:tab w:leader="none" w:pos="640" w:val="left"/>
        </w:tabs>
        <w:numPr>
          <w:ilvl w:val="0"/>
          <w:numId w:val="3"/>
        </w:numPr>
        <w:rPr>
          <w:rFonts w:ascii="Verdana" w:cs="Verdana" w:eastAsia="Verdana" w:hAnsi="Verdana"/>
          <w:sz w:val="16"/>
          <w:szCs w:val="16"/>
          <w:color w:val="auto"/>
        </w:rPr>
      </w:pPr>
      <w:r>
        <w:rPr>
          <w:rFonts w:ascii="Verdana" w:cs="Verdana" w:eastAsia="Verdana" w:hAnsi="Verdana"/>
          <w:sz w:val="16"/>
          <w:szCs w:val="16"/>
          <w:u w:val="single" w:color="auto"/>
          <w:color w:val="auto"/>
        </w:rPr>
        <w:t>Production</w:t>
      </w:r>
      <w:r>
        <w:rPr>
          <w:rFonts w:ascii="Verdana" w:cs="Verdana" w:eastAsia="Verdana" w:hAnsi="Verdana"/>
          <w:sz w:val="16"/>
          <w:szCs w:val="16"/>
          <w:color w:val="auto"/>
        </w:rPr>
        <w:t>: Sales volume of 583 Bcfe, inclusive of 21 Bcfe of strategic curtailments</w:t>
      </w:r>
    </w:p>
    <w:p>
      <w:pPr>
        <w:spacing w:after="0" w:line="8" w:lineRule="exact"/>
        <w:rPr>
          <w:rFonts w:ascii="Verdana" w:cs="Verdana" w:eastAsia="Verdana" w:hAnsi="Verdana"/>
          <w:sz w:val="16"/>
          <w:szCs w:val="16"/>
          <w:color w:val="auto"/>
        </w:rPr>
      </w:pPr>
    </w:p>
    <w:p>
      <w:pPr>
        <w:ind w:left="660" w:hanging="328"/>
        <w:spacing w:after="0" w:line="233" w:lineRule="auto"/>
        <w:tabs>
          <w:tab w:leader="none" w:pos="654" w:val="left"/>
        </w:tabs>
        <w:numPr>
          <w:ilvl w:val="0"/>
          <w:numId w:val="3"/>
        </w:numPr>
        <w:rPr>
          <w:rFonts w:ascii="Verdana" w:cs="Verdana" w:eastAsia="Verdana" w:hAnsi="Verdana"/>
          <w:sz w:val="16"/>
          <w:szCs w:val="16"/>
          <w:color w:val="000915"/>
        </w:rPr>
      </w:pPr>
      <w:r>
        <w:rPr>
          <w:rFonts w:ascii="Verdana" w:cs="Verdana" w:eastAsia="Verdana" w:hAnsi="Verdana"/>
          <w:sz w:val="16"/>
          <w:szCs w:val="16"/>
          <w:u w:val="single" w:color="auto"/>
          <w:color w:val="auto"/>
        </w:rPr>
        <w:t>Capital Expenditures</w:t>
      </w:r>
      <w:r>
        <w:rPr>
          <w:rFonts w:ascii="Verdana" w:cs="Verdana" w:eastAsia="Verdana" w:hAnsi="Verdana"/>
          <w:sz w:val="16"/>
          <w:szCs w:val="16"/>
          <w:color w:val="auto"/>
        </w:rPr>
        <w:t xml:space="preserve">: $638 million, </w:t>
      </w:r>
      <w:r>
        <w:rPr>
          <w:rFonts w:ascii="Verdana" w:cs="Verdana" w:eastAsia="Verdana" w:hAnsi="Verdana"/>
          <w:sz w:val="16"/>
          <w:szCs w:val="16"/>
          <w:color w:val="000915"/>
        </w:rPr>
        <w:t>10</w:t>
      </w:r>
      <w:r>
        <w:rPr>
          <w:rFonts w:ascii="Verdana" w:cs="Verdana" w:eastAsia="Verdana" w:hAnsi="Verdana"/>
          <w:sz w:val="16"/>
          <w:szCs w:val="16"/>
          <w:color w:val="auto"/>
        </w:rPr>
        <w:t>% below the low-end of guidance, driven by lower-than-expected upstream and midstream spending and continued benefit from operational efficiency gains</w:t>
      </w:r>
    </w:p>
    <w:p>
      <w:pPr>
        <w:ind w:left="660" w:hanging="328"/>
        <w:spacing w:after="0" w:line="241" w:lineRule="auto"/>
        <w:tabs>
          <w:tab w:leader="none" w:pos="654" w:val="left"/>
        </w:tabs>
        <w:numPr>
          <w:ilvl w:val="0"/>
          <w:numId w:val="3"/>
        </w:numPr>
        <w:rPr>
          <w:rFonts w:ascii="Verdana" w:cs="Verdana" w:eastAsia="Verdana" w:hAnsi="Verdana"/>
          <w:sz w:val="16"/>
          <w:szCs w:val="16"/>
          <w:color w:val="auto"/>
        </w:rPr>
      </w:pPr>
      <w:r>
        <w:rPr>
          <w:rFonts w:ascii="Verdana" w:cs="Verdana" w:eastAsia="Verdana" w:hAnsi="Verdana"/>
          <w:sz w:val="16"/>
          <w:szCs w:val="16"/>
          <w:u w:val="single" w:color="auto"/>
          <w:color w:val="auto"/>
        </w:rPr>
        <w:t>Realized Pricing</w:t>
      </w:r>
      <w:r>
        <w:rPr>
          <w:rFonts w:ascii="Verdana" w:cs="Verdana" w:eastAsia="Verdana" w:hAnsi="Verdana"/>
          <w:sz w:val="16"/>
          <w:szCs w:val="16"/>
          <w:color w:val="auto"/>
        </w:rPr>
        <w:t xml:space="preserve">: </w:t>
      </w:r>
      <w:r>
        <w:rPr>
          <w:rFonts w:ascii="Verdana" w:cs="Verdana" w:eastAsia="Verdana" w:hAnsi="Verdana"/>
          <w:sz w:val="16"/>
          <w:szCs w:val="16"/>
          <w:color w:val="000915"/>
        </w:rPr>
        <w:t>Differential of</w:t>
      </w:r>
      <w:r>
        <w:rPr>
          <w:rFonts w:ascii="Verdana" w:cs="Verdana" w:eastAsia="Verdana" w:hAnsi="Verdana"/>
          <w:sz w:val="16"/>
          <w:szCs w:val="16"/>
          <w:color w:val="auto"/>
        </w:rPr>
        <w:t xml:space="preserve"> $(0.64) </w:t>
      </w:r>
      <w:r>
        <w:rPr>
          <w:rFonts w:ascii="Verdana" w:cs="Verdana" w:eastAsia="Verdana" w:hAnsi="Verdana"/>
          <w:sz w:val="16"/>
          <w:szCs w:val="16"/>
          <w:color w:val="000915"/>
        </w:rPr>
        <w:t>favorable to guidance despite widening basis during the quarter due to benefits from</w:t>
      </w:r>
      <w:r>
        <w:rPr>
          <w:rFonts w:ascii="Verdana" w:cs="Verdana" w:eastAsia="Verdana" w:hAnsi="Verdana"/>
          <w:sz w:val="16"/>
          <w:szCs w:val="16"/>
          <w:color w:val="auto"/>
        </w:rPr>
        <w:t xml:space="preserve"> </w:t>
      </w:r>
      <w:r>
        <w:rPr>
          <w:rFonts w:ascii="Verdana" w:cs="Verdana" w:eastAsia="Verdana" w:hAnsi="Verdana"/>
          <w:sz w:val="16"/>
          <w:szCs w:val="16"/>
          <w:color w:val="000915"/>
        </w:rPr>
        <w:t>marketing optimization and curtailment strategy</w:t>
      </w:r>
    </w:p>
    <w:p>
      <w:pPr>
        <w:ind w:left="660" w:hanging="328"/>
        <w:spacing w:after="0" w:line="241" w:lineRule="auto"/>
        <w:tabs>
          <w:tab w:leader="none" w:pos="654" w:val="left"/>
        </w:tabs>
        <w:numPr>
          <w:ilvl w:val="0"/>
          <w:numId w:val="3"/>
        </w:numPr>
        <w:rPr>
          <w:rFonts w:ascii="Verdana" w:cs="Verdana" w:eastAsia="Verdana" w:hAnsi="Verdana"/>
          <w:sz w:val="16"/>
          <w:szCs w:val="16"/>
          <w:color w:val="auto"/>
        </w:rPr>
      </w:pPr>
      <w:r>
        <w:rPr>
          <w:rFonts w:ascii="Verdana" w:cs="Verdana" w:eastAsia="Verdana" w:hAnsi="Verdana"/>
          <w:sz w:val="16"/>
          <w:szCs w:val="16"/>
          <w:u w:val="single" w:color="auto"/>
          <w:color w:val="auto"/>
        </w:rPr>
        <w:t>Operating Costs</w:t>
      </w:r>
      <w:r>
        <w:rPr>
          <w:rFonts w:ascii="Verdana" w:cs="Verdana" w:eastAsia="Verdana" w:hAnsi="Verdana"/>
          <w:sz w:val="16"/>
          <w:szCs w:val="16"/>
          <w:color w:val="auto"/>
        </w:rPr>
        <w:t>: Total per unit operating costs of $1.09 per Mcfe, at the low end of guidance driven by lower-than-expected LOE and production tax</w:t>
      </w:r>
    </w:p>
    <w:p>
      <w:pPr>
        <w:ind w:left="660" w:hanging="328"/>
        <w:spacing w:after="0" w:line="208" w:lineRule="auto"/>
        <w:tabs>
          <w:tab w:leader="none" w:pos="654" w:val="left"/>
        </w:tabs>
        <w:numPr>
          <w:ilvl w:val="0"/>
          <w:numId w:val="3"/>
        </w:numPr>
        <w:rPr>
          <w:rFonts w:ascii="Verdana" w:cs="Verdana" w:eastAsia="Verdana" w:hAnsi="Verdana"/>
          <w:sz w:val="16"/>
          <w:szCs w:val="16"/>
          <w:color w:val="auto"/>
        </w:rPr>
      </w:pPr>
      <w:r>
        <w:rPr>
          <w:rFonts w:ascii="Verdana" w:cs="Verdana" w:eastAsia="Verdana" w:hAnsi="Verdana"/>
          <w:sz w:val="16"/>
          <w:szCs w:val="16"/>
          <w:u w:val="single" w:color="auto"/>
          <w:color w:val="auto"/>
        </w:rPr>
        <w:t>Cash Flow</w:t>
      </w:r>
      <w:r>
        <w:rPr>
          <w:rFonts w:ascii="Verdana" w:cs="Verdana" w:eastAsia="Verdana" w:hAnsi="Verdana"/>
          <w:sz w:val="16"/>
          <w:szCs w:val="16"/>
          <w:color w:val="auto"/>
        </w:rPr>
        <w:t>: Net cash provided by operating activities of $1,083 million; generated free cash flow attributable to EQT</w:t>
      </w:r>
      <w:r>
        <w:rPr>
          <w:rFonts w:ascii="Verdana" w:cs="Verdana" w:eastAsia="Verdana" w:hAnsi="Verdana"/>
          <w:sz w:val="21"/>
          <w:szCs w:val="21"/>
          <w:color w:val="auto"/>
          <w:vertAlign w:val="superscript"/>
        </w:rPr>
        <w:t>(1)</w:t>
      </w:r>
      <w:r>
        <w:rPr>
          <w:rFonts w:ascii="Verdana" w:cs="Verdana" w:eastAsia="Verdana" w:hAnsi="Verdana"/>
          <w:sz w:val="16"/>
          <w:szCs w:val="16"/>
          <w:color w:val="auto"/>
        </w:rPr>
        <w:t xml:space="preserve"> of $283 million</w:t>
      </w:r>
    </w:p>
    <w:p>
      <w:pPr>
        <w:spacing w:after="0" w:line="1" w:lineRule="exact"/>
        <w:rPr>
          <w:rFonts w:ascii="Verdana" w:cs="Verdana" w:eastAsia="Verdana" w:hAnsi="Verdana"/>
          <w:sz w:val="16"/>
          <w:szCs w:val="16"/>
          <w:color w:val="auto"/>
        </w:rPr>
      </w:pPr>
    </w:p>
    <w:p>
      <w:pPr>
        <w:ind w:left="640" w:hanging="308"/>
        <w:spacing w:after="0"/>
        <w:tabs>
          <w:tab w:leader="none" w:pos="640" w:val="left"/>
        </w:tabs>
        <w:numPr>
          <w:ilvl w:val="0"/>
          <w:numId w:val="3"/>
        </w:numPr>
        <w:rPr>
          <w:rFonts w:ascii="Verdana" w:cs="Verdana" w:eastAsia="Verdana" w:hAnsi="Verdana"/>
          <w:sz w:val="16"/>
          <w:szCs w:val="16"/>
          <w:color w:val="auto"/>
        </w:rPr>
      </w:pPr>
      <w:r>
        <w:rPr>
          <w:rFonts w:ascii="Verdana" w:cs="Verdana" w:eastAsia="Verdana" w:hAnsi="Verdana"/>
          <w:sz w:val="16"/>
          <w:szCs w:val="16"/>
          <w:u w:val="single" w:color="auto"/>
          <w:color w:val="auto"/>
        </w:rPr>
        <w:t>Balance Sheet</w:t>
      </w:r>
      <w:r>
        <w:rPr>
          <w:rFonts w:ascii="Verdana" w:cs="Verdana" w:eastAsia="Verdana" w:hAnsi="Verdana"/>
          <w:sz w:val="16"/>
          <w:szCs w:val="16"/>
          <w:color w:val="auto"/>
        </w:rPr>
        <w:t>: Exited the quarter with $5.6 billion total debt and just under $5.5 billion net debt</w:t>
      </w:r>
      <w:r>
        <w:rPr>
          <w:rFonts w:ascii="Verdana" w:cs="Verdana" w:eastAsia="Verdana" w:hAnsi="Verdana"/>
          <w:sz w:val="21"/>
          <w:szCs w:val="21"/>
          <w:color w:val="auto"/>
          <w:vertAlign w:val="superscript"/>
        </w:rPr>
        <w:t>(1)</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Third Quarter 2026 and Recent Highlights:</w:t>
      </w:r>
    </w:p>
    <w:p>
      <w:pPr>
        <w:spacing w:after="0" w:line="2" w:lineRule="exact"/>
        <w:rPr>
          <w:sz w:val="20"/>
          <w:szCs w:val="20"/>
          <w:color w:val="auto"/>
        </w:rPr>
      </w:pPr>
    </w:p>
    <w:p>
      <w:pPr>
        <w:jc w:val="both"/>
        <w:ind w:left="660" w:hanging="328"/>
        <w:spacing w:after="0" w:line="238" w:lineRule="auto"/>
        <w:tabs>
          <w:tab w:leader="none" w:pos="654" w:val="left"/>
        </w:tabs>
        <w:numPr>
          <w:ilvl w:val="0"/>
          <w:numId w:val="4"/>
        </w:numPr>
        <w:rPr>
          <w:rFonts w:ascii="Verdana" w:cs="Verdana" w:eastAsia="Verdana" w:hAnsi="Verdana"/>
          <w:sz w:val="16"/>
          <w:szCs w:val="16"/>
          <w:color w:val="auto"/>
        </w:rPr>
      </w:pPr>
      <w:r>
        <w:rPr>
          <w:rFonts w:ascii="Verdana" w:cs="Verdana" w:eastAsia="Verdana" w:hAnsi="Verdana"/>
          <w:sz w:val="16"/>
          <w:szCs w:val="16"/>
          <w:u w:val="single" w:color="auto"/>
          <w:color w:val="auto"/>
        </w:rPr>
        <w:t>Range Acquisition:</w:t>
      </w:r>
      <w:r>
        <w:rPr>
          <w:rFonts w:ascii="Verdana" w:cs="Verdana" w:eastAsia="Verdana" w:hAnsi="Verdana"/>
          <w:sz w:val="16"/>
          <w:szCs w:val="16"/>
          <w:color w:val="auto"/>
        </w:rPr>
        <w:t xml:space="preserve"> Announced strategic acquisition of Range Resources Corporation, which will create America's largest and only vertically integrated natural gas producer with leading inventory depth, lowest cost structure, a fortress balance sheet and the largest natural gas marketing platform in the country</w:t>
      </w:r>
    </w:p>
    <w:p>
      <w:pPr>
        <w:spacing w:after="0" w:line="1" w:lineRule="exact"/>
        <w:rPr>
          <w:rFonts w:ascii="Verdana" w:cs="Verdana" w:eastAsia="Verdana" w:hAnsi="Verdana"/>
          <w:sz w:val="16"/>
          <w:szCs w:val="16"/>
          <w:color w:val="auto"/>
        </w:rPr>
      </w:pPr>
    </w:p>
    <w:p>
      <w:pPr>
        <w:ind w:left="660" w:hanging="328"/>
        <w:spacing w:after="0" w:line="241" w:lineRule="auto"/>
        <w:tabs>
          <w:tab w:leader="none" w:pos="654" w:val="left"/>
        </w:tabs>
        <w:numPr>
          <w:ilvl w:val="0"/>
          <w:numId w:val="4"/>
        </w:numPr>
        <w:rPr>
          <w:rFonts w:ascii="Verdana" w:cs="Verdana" w:eastAsia="Verdana" w:hAnsi="Verdana"/>
          <w:sz w:val="16"/>
          <w:szCs w:val="16"/>
          <w:color w:val="auto"/>
        </w:rPr>
      </w:pPr>
      <w:r>
        <w:rPr>
          <w:rFonts w:ascii="Verdana" w:cs="Verdana" w:eastAsia="Verdana" w:hAnsi="Verdana"/>
          <w:sz w:val="16"/>
          <w:szCs w:val="16"/>
          <w:u w:val="single" w:color="auto"/>
          <w:color w:val="auto"/>
        </w:rPr>
        <w:t>POWER Pipeline</w:t>
      </w:r>
      <w:r>
        <w:rPr>
          <w:rFonts w:ascii="Verdana" w:cs="Verdana" w:eastAsia="Verdana" w:hAnsi="Verdana"/>
          <w:sz w:val="16"/>
          <w:szCs w:val="16"/>
          <w:color w:val="auto"/>
        </w:rPr>
        <w:t>: Launched open season for new 42-inch POWER Pipeline project connecting EQT's core Marcellus assets in Pennsylvania to growing demand at the Clarington hub in Ohio</w:t>
      </w:r>
    </w:p>
    <w:p>
      <w:pPr>
        <w:ind w:left="660" w:hanging="328"/>
        <w:spacing w:after="0" w:line="241" w:lineRule="auto"/>
        <w:tabs>
          <w:tab w:leader="none" w:pos="654" w:val="left"/>
        </w:tabs>
        <w:numPr>
          <w:ilvl w:val="0"/>
          <w:numId w:val="4"/>
        </w:numPr>
        <w:rPr>
          <w:rFonts w:ascii="Verdana" w:cs="Verdana" w:eastAsia="Verdana" w:hAnsi="Verdana"/>
          <w:sz w:val="16"/>
          <w:szCs w:val="16"/>
          <w:color w:val="auto"/>
        </w:rPr>
      </w:pPr>
      <w:r>
        <w:rPr>
          <w:rFonts w:ascii="Verdana" w:cs="Verdana" w:eastAsia="Verdana" w:hAnsi="Verdana"/>
          <w:sz w:val="16"/>
          <w:szCs w:val="16"/>
          <w:u w:val="single" w:color="auto"/>
          <w:color w:val="auto"/>
        </w:rPr>
        <w:t>LNG Sales Contract</w:t>
      </w:r>
      <w:r>
        <w:rPr>
          <w:rFonts w:ascii="Verdana" w:cs="Verdana" w:eastAsia="Verdana" w:hAnsi="Verdana"/>
          <w:sz w:val="16"/>
          <w:szCs w:val="16"/>
          <w:color w:val="auto"/>
        </w:rPr>
        <w:t>: Signed 10-year LNG sales agreement with Ignitis Group, the largest supplier of electricity and natural gas in Lithuania</w:t>
      </w:r>
    </w:p>
    <w:p>
      <w:pPr>
        <w:jc w:val="both"/>
        <w:ind w:left="660" w:hanging="328"/>
        <w:spacing w:after="0" w:line="238" w:lineRule="auto"/>
        <w:tabs>
          <w:tab w:leader="none" w:pos="654" w:val="left"/>
        </w:tabs>
        <w:numPr>
          <w:ilvl w:val="0"/>
          <w:numId w:val="4"/>
        </w:numPr>
        <w:rPr>
          <w:rFonts w:ascii="Verdana" w:cs="Verdana" w:eastAsia="Verdana" w:hAnsi="Verdana"/>
          <w:sz w:val="16"/>
          <w:szCs w:val="16"/>
          <w:color w:val="auto"/>
        </w:rPr>
      </w:pPr>
      <w:r>
        <w:rPr>
          <w:rFonts w:ascii="Verdana" w:cs="Verdana" w:eastAsia="Verdana" w:hAnsi="Verdana"/>
          <w:sz w:val="16"/>
          <w:szCs w:val="16"/>
          <w:u w:val="single" w:color="auto"/>
          <w:color w:val="auto"/>
        </w:rPr>
        <w:t>Gulf Coast Storage</w:t>
      </w:r>
      <w:r>
        <w:rPr>
          <w:rFonts w:ascii="Verdana" w:cs="Verdana" w:eastAsia="Verdana" w:hAnsi="Verdana"/>
          <w:sz w:val="16"/>
          <w:szCs w:val="16"/>
          <w:color w:val="auto"/>
        </w:rPr>
        <w:t>: Contracted for 7 Bcf of storage capacity at Leaf River Energy Center's salt dome expansion project along the Gulf Coast; increases EQT's Gulf Coast storage capacity up to 11 Bcf and provides optimization flexibility to support the LNG business</w:t>
      </w:r>
    </w:p>
    <w:p>
      <w:pPr>
        <w:spacing w:after="0" w:line="1" w:lineRule="exact"/>
        <w:rPr>
          <w:rFonts w:ascii="Verdana" w:cs="Verdana" w:eastAsia="Verdana" w:hAnsi="Verdana"/>
          <w:sz w:val="16"/>
          <w:szCs w:val="16"/>
          <w:color w:val="auto"/>
        </w:rPr>
      </w:pPr>
    </w:p>
    <w:p>
      <w:pPr>
        <w:ind w:left="660" w:hanging="328"/>
        <w:spacing w:after="0" w:line="253" w:lineRule="auto"/>
        <w:tabs>
          <w:tab w:leader="none" w:pos="654" w:val="left"/>
        </w:tabs>
        <w:numPr>
          <w:ilvl w:val="0"/>
          <w:numId w:val="4"/>
        </w:numPr>
        <w:rPr>
          <w:rFonts w:ascii="Verdana" w:cs="Verdana" w:eastAsia="Verdana" w:hAnsi="Verdana"/>
          <w:sz w:val="16"/>
          <w:szCs w:val="16"/>
          <w:color w:val="auto"/>
        </w:rPr>
      </w:pPr>
      <w:r>
        <w:rPr>
          <w:rFonts w:ascii="Verdana" w:cs="Verdana" w:eastAsia="Verdana" w:hAnsi="Verdana"/>
          <w:sz w:val="16"/>
          <w:szCs w:val="16"/>
          <w:u w:val="single" w:color="auto"/>
          <w:color w:val="auto"/>
        </w:rPr>
        <w:t>Dividend Increase</w:t>
      </w:r>
      <w:r>
        <w:rPr>
          <w:rFonts w:ascii="Verdana" w:cs="Verdana" w:eastAsia="Verdana" w:hAnsi="Verdana"/>
          <w:sz w:val="16"/>
          <w:szCs w:val="16"/>
          <w:color w:val="auto"/>
        </w:rPr>
        <w:t>: Increased dividend by 3% to $0.68 per share annualized; compounded annual dividend growth rate of ~7% since 2022 with durability underpinned by material cost structure improvements and synergy capture over this period</w:t>
      </w:r>
    </w:p>
    <w:p>
      <w:pPr>
        <w:spacing w:after="0" w:line="225"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President and CEO Toby Z. Rice stated, "Third quarter results built on what has been an exceptional year of execution at EQT. Despite downward pressure on natural gas prices during the quarter, our marketing efforts drove stronger realized pricing, operating expenses</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came in at the low end of guidance and capital spending was well below expectations as efficiencies continue to accrue. This resulted in yet another quarter of greater-than-expected free cash flow generation."</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Rice added, "We also announced our strategic combination with Range Resources, pairing two of the highest-quality, longest-duration</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asset bases in North America and creating a company uniquely positioned for the next era of natural gas. Our expanded resource base solidifies EQT as the operator of choice for premium, long-term supply arrangements and provides unique growth optionality</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underpinned by contractual demand. We believe this combination creates a must-own energy company capable of generating durable, through-cycle free cash flow while compounding value for shareholders for decades to come."</w:t>
      </w:r>
    </w:p>
    <w:p>
      <w:pPr>
        <w:spacing w:after="0" w:line="216" w:lineRule="exact"/>
        <w:rPr>
          <w:sz w:val="20"/>
          <w:szCs w:val="20"/>
          <w:color w:val="auto"/>
        </w:rPr>
      </w:pPr>
    </w:p>
    <w:p>
      <w:pPr>
        <w:ind w:left="660" w:hanging="328"/>
        <w:spacing w:after="0" w:line="270" w:lineRule="auto"/>
        <w:tabs>
          <w:tab w:leader="none" w:pos="652" w:val="left"/>
        </w:tabs>
        <w:numPr>
          <w:ilvl w:val="0"/>
          <w:numId w:val="5"/>
        </w:numPr>
        <w:rPr>
          <w:rFonts w:ascii="Verdana" w:cs="Verdana" w:eastAsia="Verdana" w:hAnsi="Verdana"/>
          <w:sz w:val="14"/>
          <w:szCs w:val="14"/>
          <w:color w:val="auto"/>
        </w:rPr>
      </w:pPr>
      <w:r>
        <w:rPr>
          <w:rFonts w:ascii="Verdana" w:cs="Verdana" w:eastAsia="Verdana" w:hAnsi="Verdana"/>
          <w:sz w:val="14"/>
          <w:szCs w:val="14"/>
          <w:color w:val="auto"/>
        </w:rPr>
        <w:t>A non-GAAP financial measure. See the Non-GAAP Disclosures section of this news release for the definition of, and other important information regarding, this non-GAAP financial measure.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w:t>
      </w:r>
    </w:p>
    <w:p>
      <w:pPr>
        <w:sectPr>
          <w:pgSz w:w="11900" w:h="16838" w:orient="portrait"/>
          <w:cols w:equalWidth="0" w:num="1">
            <w:col w:w="11240"/>
          </w:cols>
          <w:pgMar w:left="320" w:top="1434"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Third Quarter 2026 Financial and Operational Performance</w:t>
      </w:r>
    </w:p>
    <w:tbl>
      <w:tblPr>
        <w:tblLayout w:type="fixed"/>
        <w:tblInd w:w="2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180" w:type="dxa"/>
            <w:vAlign w:val="bottom"/>
            <w:gridSpan w:val="4"/>
          </w:tcPr>
          <w:p>
            <w:pPr>
              <w:jc w:val="right"/>
              <w:ind w:right="299"/>
              <w:spacing w:after="0" w:line="192" w:lineRule="exact"/>
              <w:rPr>
                <w:sz w:val="20"/>
                <w:szCs w:val="20"/>
                <w:color w:val="auto"/>
              </w:rPr>
            </w:pPr>
            <w:r>
              <w:rPr>
                <w:rFonts w:ascii="Verdana" w:cs="Verdana" w:eastAsia="Verdana" w:hAnsi="Verdana"/>
                <w:sz w:val="16"/>
                <w:szCs w:val="16"/>
                <w:b w:val="1"/>
                <w:bCs w:val="1"/>
                <w:color w:val="auto"/>
              </w:rPr>
              <w:t>Three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1"/>
        </w:trPr>
        <w:tc>
          <w:tcPr>
            <w:tcW w:w="54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499"/>
              <w:spacing w:after="0"/>
              <w:rPr>
                <w:sz w:val="20"/>
                <w:szCs w:val="20"/>
                <w:color w:val="auto"/>
              </w:rPr>
            </w:pPr>
            <w:r>
              <w:rPr>
                <w:rFonts w:ascii="Verdana" w:cs="Verdana" w:eastAsia="Verdana" w:hAnsi="Verdana"/>
                <w:sz w:val="16"/>
                <w:szCs w:val="16"/>
                <w:b w:val="1"/>
                <w:bCs w:val="1"/>
                <w:color w:val="auto"/>
              </w:rPr>
              <w:t>September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2"/>
        </w:trPr>
        <w:tc>
          <w:tcPr>
            <w:tcW w:w="54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Verdana" w:cs="Verdana" w:eastAsia="Verdana" w:hAnsi="Verdana"/>
                <w:sz w:val="16"/>
                <w:szCs w:val="16"/>
                <w:b w:val="1"/>
                <w:bCs w:val="1"/>
                <w:color w:val="auto"/>
              </w:rPr>
              <w:t>Change</w:t>
            </w:r>
          </w:p>
        </w:tc>
      </w:tr>
      <w:tr>
        <w:trPr>
          <w:trHeight w:val="247"/>
        </w:trPr>
        <w:tc>
          <w:tcPr>
            <w:tcW w:w="5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60" w:type="dxa"/>
            <w:vAlign w:val="bottom"/>
            <w:gridSpan w:val="6"/>
          </w:tcPr>
          <w:p>
            <w:pPr>
              <w:jc w:val="right"/>
              <w:spacing w:after="0"/>
              <w:rPr>
                <w:sz w:val="20"/>
                <w:szCs w:val="20"/>
                <w:color w:val="auto"/>
              </w:rPr>
            </w:pPr>
            <w:r>
              <w:rPr>
                <w:rFonts w:ascii="Verdana" w:cs="Verdana" w:eastAsia="Verdana" w:hAnsi="Verdana"/>
                <w:sz w:val="16"/>
                <w:szCs w:val="16"/>
                <w:b w:val="1"/>
                <w:bCs w:val="1"/>
                <w:color w:val="auto"/>
              </w:rPr>
              <w:t>(Millions, unless otherwise noted)</w:t>
            </w:r>
          </w:p>
        </w:tc>
        <w:tc>
          <w:tcPr>
            <w:tcW w:w="1300" w:type="dxa"/>
            <w:vAlign w:val="bottom"/>
          </w:tcPr>
          <w:p>
            <w:pPr>
              <w:spacing w:after="0"/>
              <w:rPr>
                <w:sz w:val="21"/>
                <w:szCs w:val="21"/>
                <w:color w:val="auto"/>
              </w:rPr>
            </w:pP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Total sales volume (Bcfe)</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Verdana" w:cs="Verdana" w:eastAsia="Verdana" w:hAnsi="Verdana"/>
                <w:sz w:val="16"/>
                <w:szCs w:val="16"/>
                <w:color w:val="auto"/>
              </w:rPr>
              <w:t>583</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Verdana" w:cs="Verdana" w:eastAsia="Verdana" w:hAnsi="Verdana"/>
                <w:sz w:val="16"/>
                <w:szCs w:val="16"/>
                <w:color w:val="auto"/>
              </w:rPr>
              <w:t>634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Verdana" w:cs="Verdana" w:eastAsia="Verdana" w:hAnsi="Verdana"/>
                <w:sz w:val="16"/>
                <w:szCs w:val="16"/>
                <w:color w:val="auto"/>
              </w:rPr>
              <w:t>(51)</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Average realized price ($/Mcfe)</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2.72</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2.76</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(0.04)</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Net income attributable to EQT</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279</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336</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(57)</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net income attributable to EQT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261</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329</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(68)</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Diluted income per share (EPS)</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0.44</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0.53</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(0.09)</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EPS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0.42</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0.52</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(0.10)</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Net income</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345</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407</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(62)</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EBITDA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1,143</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1,328</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(185)</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EBITDA attributable to EQT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1,021</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1,200</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(179)</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Net cash provided by operating activities</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1,083</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1,018</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65</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operating cash flow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1,096</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1,221</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(125)</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Adjusted operating cash flow attributable to EQT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975</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1,094</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(119)</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Capital expenditures</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638</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618</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20</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Capital contributions to equity method investments</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61</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2</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59</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Free cash flow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398</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601</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(203)</w:t>
            </w:r>
          </w:p>
        </w:tc>
      </w:tr>
      <w:tr>
        <w:trPr>
          <w:trHeight w:val="216"/>
        </w:trPr>
        <w:tc>
          <w:tcPr>
            <w:tcW w:w="5460" w:type="dxa"/>
            <w:vAlign w:val="bottom"/>
          </w:tcPr>
          <w:p>
            <w:pPr>
              <w:spacing w:after="0"/>
              <w:rPr>
                <w:sz w:val="20"/>
                <w:szCs w:val="20"/>
                <w:color w:val="auto"/>
              </w:rPr>
            </w:pPr>
            <w:r>
              <w:rPr>
                <w:rFonts w:ascii="Verdana" w:cs="Verdana" w:eastAsia="Verdana" w:hAnsi="Verdana"/>
                <w:sz w:val="16"/>
                <w:szCs w:val="16"/>
                <w:color w:val="auto"/>
              </w:rPr>
              <w:t>Free cash flow attributable to EQT (a)</w:t>
            </w:r>
          </w:p>
        </w:tc>
        <w:tc>
          <w:tcPr>
            <w:tcW w:w="1200" w:type="dxa"/>
            <w:vAlign w:val="bottom"/>
          </w:tcPr>
          <w:p>
            <w:pPr>
              <w:jc w:val="right"/>
              <w:ind w:right="999"/>
              <w:spacing w:after="0"/>
              <w:rPr>
                <w:sz w:val="20"/>
                <w:szCs w:val="20"/>
                <w:color w:val="auto"/>
              </w:rPr>
            </w:pPr>
            <w:r>
              <w:rPr>
                <w:rFonts w:ascii="Verdana" w:cs="Verdana" w:eastAsia="Verdana" w:hAnsi="Verdana"/>
                <w:sz w:val="16"/>
                <w:szCs w:val="16"/>
                <w:color w:val="auto"/>
                <w:w w:val="97"/>
              </w:rPr>
              <w:t>$</w:t>
            </w:r>
          </w:p>
        </w:tc>
        <w:tc>
          <w:tcPr>
            <w:tcW w:w="640" w:type="dxa"/>
            <w:vAlign w:val="bottom"/>
          </w:tcPr>
          <w:p>
            <w:pPr>
              <w:jc w:val="right"/>
              <w:spacing w:after="0"/>
              <w:rPr>
                <w:sz w:val="20"/>
                <w:szCs w:val="20"/>
                <w:color w:val="auto"/>
              </w:rPr>
            </w:pPr>
            <w:r>
              <w:rPr>
                <w:rFonts w:ascii="Verdana" w:cs="Verdana" w:eastAsia="Verdana" w:hAnsi="Verdana"/>
                <w:sz w:val="16"/>
                <w:szCs w:val="16"/>
                <w:color w:val="auto"/>
              </w:rPr>
              <w:t>283</w:t>
            </w:r>
          </w:p>
        </w:tc>
        <w:tc>
          <w:tcPr>
            <w:tcW w:w="12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Verdana" w:cs="Verdana" w:eastAsia="Verdana" w:hAnsi="Verdana"/>
                <w:sz w:val="16"/>
                <w:szCs w:val="16"/>
                <w:color w:val="auto"/>
                <w:w w:val="97"/>
              </w:rPr>
              <w:t>$</w:t>
            </w:r>
          </w:p>
        </w:tc>
        <w:tc>
          <w:tcPr>
            <w:tcW w:w="620" w:type="dxa"/>
            <w:vAlign w:val="bottom"/>
          </w:tcPr>
          <w:p>
            <w:pPr>
              <w:jc w:val="right"/>
              <w:spacing w:after="0"/>
              <w:rPr>
                <w:sz w:val="20"/>
                <w:szCs w:val="20"/>
                <w:color w:val="auto"/>
              </w:rPr>
            </w:pPr>
            <w:r>
              <w:rPr>
                <w:rFonts w:ascii="Verdana" w:cs="Verdana" w:eastAsia="Verdana" w:hAnsi="Verdana"/>
                <w:sz w:val="16"/>
                <w:szCs w:val="16"/>
                <w:color w:val="auto"/>
              </w:rPr>
              <w:t>484</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(201)</w:t>
            </w:r>
          </w:p>
        </w:tc>
      </w:tr>
    </w:tbl>
    <w:p>
      <w:pPr>
        <w:spacing w:after="0" w:line="334" w:lineRule="exact"/>
        <w:rPr>
          <w:sz w:val="20"/>
          <w:szCs w:val="20"/>
          <w:color w:val="auto"/>
        </w:rPr>
      </w:pPr>
    </w:p>
    <w:p>
      <w:pPr>
        <w:ind w:left="660" w:hanging="328"/>
        <w:spacing w:after="0" w:line="251" w:lineRule="auto"/>
        <w:tabs>
          <w:tab w:leader="none" w:pos="647" w:val="left"/>
        </w:tabs>
        <w:numPr>
          <w:ilvl w:val="0"/>
          <w:numId w:val="6"/>
        </w:numPr>
        <w:rPr>
          <w:rFonts w:ascii="Verdana" w:cs="Verdana" w:eastAsia="Verdana" w:hAnsi="Verdana"/>
          <w:sz w:val="14"/>
          <w:szCs w:val="14"/>
          <w:color w:val="auto"/>
        </w:rPr>
      </w:pPr>
      <w:r>
        <w:rPr>
          <w:rFonts w:ascii="Verdana" w:cs="Verdana" w:eastAsia="Verdana" w:hAnsi="Verdana"/>
          <w:sz w:val="14"/>
          <w:szCs w:val="14"/>
          <w:color w:val="auto"/>
        </w:rPr>
        <w:t>A non-GAAP financial measure. See the Non-GAAP Disclosures section of this news release for the definition of, and other important information regarding, this non-GAAP financial measure.</w:t>
      </w:r>
    </w:p>
    <w:p>
      <w:pPr>
        <w:spacing w:after="0" w:line="21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Per Unit Operating Costs</w:t>
      </w:r>
    </w:p>
    <w:p>
      <w:pPr>
        <w:spacing w:after="0" w:line="228" w:lineRule="auto"/>
        <w:rPr>
          <w:sz w:val="20"/>
          <w:szCs w:val="20"/>
          <w:color w:val="auto"/>
        </w:rPr>
      </w:pPr>
      <w:r>
        <w:rPr>
          <w:rFonts w:ascii="Verdana" w:cs="Verdana" w:eastAsia="Verdana" w:hAnsi="Verdana"/>
          <w:sz w:val="16"/>
          <w:szCs w:val="16"/>
          <w:color w:val="auto"/>
        </w:rPr>
        <w:t>The following table presents certain of the Company's consolidated operating costs on a per unit basis.</w:t>
      </w:r>
      <w:r>
        <w:rPr>
          <w:rFonts w:ascii="Verdana" w:cs="Verdana" w:eastAsia="Verdana" w:hAnsi="Verdana"/>
          <w:sz w:val="21"/>
          <w:szCs w:val="21"/>
          <w:color w:val="auto"/>
          <w:vertAlign w:val="superscript"/>
        </w:rPr>
        <w:t>(a)</w:t>
      </w:r>
    </w:p>
    <w:tbl>
      <w:tblPr>
        <w:tblLayout w:type="fixed"/>
        <w:tblInd w:w="40" w:type="dxa"/>
        <w:tblCellMar>
          <w:top w:w="0" w:type="dxa"/>
          <w:left w:w="0" w:type="dxa"/>
          <w:bottom w:w="0" w:type="dxa"/>
          <w:right w:w="0" w:type="dxa"/>
        </w:tblCellMar>
      </w:tblPr>
      <w:tr>
        <w:trPr>
          <w:trHeight w:val="163"/>
        </w:trPr>
        <w:tc>
          <w:tcPr>
            <w:tcW w:w="4660" w:type="dxa"/>
            <w:vAlign w:val="bottom"/>
          </w:tcPr>
          <w:p>
            <w:pPr>
              <w:spacing w:after="0"/>
              <w:rPr>
                <w:sz w:val="14"/>
                <w:szCs w:val="14"/>
                <w:color w:val="auto"/>
              </w:rPr>
            </w:pPr>
          </w:p>
        </w:tc>
        <w:tc>
          <w:tcPr>
            <w:tcW w:w="2700" w:type="dxa"/>
            <w:vAlign w:val="bottom"/>
            <w:gridSpan w:val="4"/>
          </w:tcPr>
          <w:p>
            <w:pPr>
              <w:jc w:val="right"/>
              <w:ind w:right="119"/>
              <w:spacing w:after="0" w:line="163" w:lineRule="exact"/>
              <w:rPr>
                <w:sz w:val="20"/>
                <w:szCs w:val="20"/>
                <w:color w:val="auto"/>
              </w:rPr>
            </w:pPr>
            <w:r>
              <w:rPr>
                <w:rFonts w:ascii="Verdana" w:cs="Verdana" w:eastAsia="Verdana" w:hAnsi="Verdana"/>
                <w:sz w:val="16"/>
                <w:szCs w:val="16"/>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40" w:type="dxa"/>
            <w:vAlign w:val="bottom"/>
            <w:gridSpan w:val="4"/>
          </w:tcPr>
          <w:p>
            <w:pPr>
              <w:jc w:val="right"/>
              <w:ind w:right="679"/>
              <w:spacing w:after="0" w:line="163" w:lineRule="exact"/>
              <w:rPr>
                <w:sz w:val="20"/>
                <w:szCs w:val="20"/>
                <w:color w:val="auto"/>
              </w:rPr>
            </w:pPr>
            <w:r>
              <w:rPr>
                <w:rFonts w:ascii="Verdana" w:cs="Verdana" w:eastAsia="Verdana" w:hAnsi="Verdana"/>
                <w:sz w:val="16"/>
                <w:szCs w:val="16"/>
                <w:b w:val="1"/>
                <w:bCs w:val="1"/>
                <w:color w:val="auto"/>
              </w:rPr>
              <w:t>Nine Months Ended</w:t>
            </w:r>
          </w:p>
        </w:tc>
      </w:tr>
      <w:tr>
        <w:trPr>
          <w:trHeight w:val="213"/>
        </w:trPr>
        <w:tc>
          <w:tcPr>
            <w:tcW w:w="466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9"/>
              <w:spacing w:after="0"/>
              <w:rPr>
                <w:sz w:val="20"/>
                <w:szCs w:val="20"/>
                <w:color w:val="auto"/>
              </w:rPr>
            </w:pPr>
            <w:r>
              <w:rPr>
                <w:rFonts w:ascii="Verdana" w:cs="Verdana" w:eastAsia="Verdana" w:hAnsi="Verdana"/>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r>
      <w:tr>
        <w:trPr>
          <w:trHeight w:val="210"/>
        </w:trPr>
        <w:tc>
          <w:tcPr>
            <w:tcW w:w="46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r>
      <w:tr>
        <w:trPr>
          <w:trHeight w:val="247"/>
        </w:trPr>
        <w:tc>
          <w:tcPr>
            <w:tcW w:w="4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Verdana" w:cs="Verdana" w:eastAsia="Verdana" w:hAnsi="Verdana"/>
                <w:sz w:val="16"/>
                <w:szCs w:val="16"/>
                <w:b w:val="1"/>
                <w:bCs w:val="1"/>
                <w:color w:val="auto"/>
              </w:rPr>
              <w:t>(Per Mcfe)</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Gathering</w:t>
            </w:r>
          </w:p>
        </w:tc>
        <w:tc>
          <w:tcPr>
            <w:tcW w:w="1060" w:type="dxa"/>
            <w:vAlign w:val="bottom"/>
          </w:tcPr>
          <w:p>
            <w:pPr>
              <w:jc w:val="right"/>
              <w:ind w:right="859"/>
              <w:spacing w:after="0"/>
              <w:rPr>
                <w:sz w:val="20"/>
                <w:szCs w:val="20"/>
                <w:color w:val="auto"/>
              </w:rPr>
            </w:pPr>
            <w:r>
              <w:rPr>
                <w:rFonts w:ascii="Verdana" w:cs="Verdana" w:eastAsia="Verdana" w:hAnsi="Verdana"/>
                <w:sz w:val="16"/>
                <w:szCs w:val="16"/>
                <w:color w:val="auto"/>
                <w:w w:val="97"/>
              </w:rPr>
              <w:t>$</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0.09</w:t>
            </w:r>
          </w:p>
        </w:tc>
        <w:tc>
          <w:tcPr>
            <w:tcW w:w="100" w:type="dxa"/>
            <w:vAlign w:val="bottom"/>
          </w:tcPr>
          <w:p>
            <w:pPr>
              <w:spacing w:after="0"/>
              <w:rPr>
                <w:sz w:val="18"/>
                <w:szCs w:val="18"/>
                <w:color w:val="auto"/>
              </w:rPr>
            </w:pPr>
          </w:p>
        </w:tc>
        <w:tc>
          <w:tcPr>
            <w:tcW w:w="1040" w:type="dxa"/>
            <w:vAlign w:val="bottom"/>
          </w:tcPr>
          <w:p>
            <w:pPr>
              <w:jc w:val="right"/>
              <w:ind w:right="839"/>
              <w:spacing w:after="0"/>
              <w:rPr>
                <w:sz w:val="20"/>
                <w:szCs w:val="20"/>
                <w:color w:val="auto"/>
              </w:rPr>
            </w:pPr>
            <w:r>
              <w:rPr>
                <w:rFonts w:ascii="Verdana" w:cs="Verdana" w:eastAsia="Verdana" w:hAnsi="Verdana"/>
                <w:sz w:val="16"/>
                <w:szCs w:val="16"/>
                <w:color w:val="auto"/>
                <w:w w:val="97"/>
              </w:rPr>
              <w:t>$</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0.06</w:t>
            </w: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Verdana" w:cs="Verdana" w:eastAsia="Verdana" w:hAnsi="Verdana"/>
                <w:sz w:val="16"/>
                <w:szCs w:val="16"/>
                <w:color w:val="auto"/>
                <w:w w:val="97"/>
              </w:rPr>
              <w:t>$</w:t>
            </w:r>
          </w:p>
        </w:tc>
        <w:tc>
          <w:tcPr>
            <w:tcW w:w="1060" w:type="dxa"/>
            <w:vAlign w:val="bottom"/>
          </w:tcPr>
          <w:p>
            <w:pPr>
              <w:jc w:val="right"/>
              <w:spacing w:after="0"/>
              <w:rPr>
                <w:sz w:val="20"/>
                <w:szCs w:val="20"/>
                <w:color w:val="auto"/>
              </w:rPr>
            </w:pPr>
            <w:r>
              <w:rPr>
                <w:rFonts w:ascii="Verdana" w:cs="Verdana" w:eastAsia="Verdana" w:hAnsi="Verdana"/>
                <w:sz w:val="16"/>
                <w:szCs w:val="16"/>
                <w:color w:val="auto"/>
              </w:rPr>
              <w:t>0.09</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0.07</w:t>
            </w: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Transmission</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0.43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Verdana" w:cs="Verdana" w:eastAsia="Verdana" w:hAnsi="Verdana"/>
                <w:sz w:val="16"/>
                <w:szCs w:val="16"/>
                <w:color w:val="auto"/>
              </w:rPr>
              <w:t>0.42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0.43</w:t>
            </w: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Processing</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0.12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Verdana" w:cs="Verdana" w:eastAsia="Verdana" w:hAnsi="Verdana"/>
                <w:sz w:val="16"/>
                <w:szCs w:val="16"/>
                <w:color w:val="auto"/>
              </w:rPr>
              <w:t>0.12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0.14</w:t>
            </w: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Lease operating expense (LOE)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0.09</w:t>
            </w: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Production taxes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0.05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0.06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Verdana" w:cs="Verdana" w:eastAsia="Verdana" w:hAnsi="Verdana"/>
                <w:sz w:val="16"/>
                <w:szCs w:val="16"/>
                <w:color w:val="auto"/>
              </w:rPr>
              <w:t>0.07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0.07</w:t>
            </w: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Operating and maintenance (O&amp;M)</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0.09</w:t>
            </w:r>
          </w:p>
        </w:tc>
      </w:tr>
      <w:tr>
        <w:trPr>
          <w:trHeight w:val="219"/>
        </w:trPr>
        <w:tc>
          <w:tcPr>
            <w:tcW w:w="4660" w:type="dxa"/>
            <w:vAlign w:val="bottom"/>
          </w:tcPr>
          <w:p>
            <w:pPr>
              <w:spacing w:after="0"/>
              <w:rPr>
                <w:sz w:val="20"/>
                <w:szCs w:val="20"/>
                <w:color w:val="auto"/>
              </w:rPr>
            </w:pPr>
            <w:r>
              <w:rPr>
                <w:rFonts w:ascii="Verdana" w:cs="Verdana" w:eastAsia="Verdana" w:hAnsi="Verdana"/>
                <w:sz w:val="16"/>
                <w:szCs w:val="16"/>
                <w:color w:val="auto"/>
              </w:rPr>
              <w:t>Selling, general and administrative (SG&amp;A)</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0.20</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0.16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0.17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0.15</w:t>
            </w:r>
          </w:p>
        </w:tc>
      </w:tr>
      <w:tr>
        <w:trPr>
          <w:trHeight w:val="213"/>
        </w:trPr>
        <w:tc>
          <w:tcPr>
            <w:tcW w:w="4660" w:type="dxa"/>
            <w:vAlign w:val="bottom"/>
          </w:tcPr>
          <w:p>
            <w:pPr>
              <w:ind w:left="100"/>
              <w:spacing w:after="0"/>
              <w:rPr>
                <w:sz w:val="20"/>
                <w:szCs w:val="20"/>
                <w:color w:val="auto"/>
              </w:rPr>
            </w:pPr>
            <w:r>
              <w:rPr>
                <w:rFonts w:ascii="Verdana" w:cs="Verdana" w:eastAsia="Verdana" w:hAnsi="Verdana"/>
                <w:sz w:val="16"/>
                <w:szCs w:val="16"/>
                <w:color w:val="auto"/>
              </w:rPr>
              <w:t>Operating costs</w:t>
            </w:r>
          </w:p>
        </w:tc>
        <w:tc>
          <w:tcPr>
            <w:tcW w:w="1060" w:type="dxa"/>
            <w:vAlign w:val="bottom"/>
            <w:tcBorders>
              <w:bottom w:val="single" w:sz="8" w:color="auto"/>
            </w:tcBorders>
          </w:tcPr>
          <w:p>
            <w:pPr>
              <w:jc w:val="right"/>
              <w:ind w:right="859"/>
              <w:spacing w:after="0"/>
              <w:rPr>
                <w:sz w:val="20"/>
                <w:szCs w:val="20"/>
                <w:color w:val="auto"/>
              </w:rPr>
            </w:pPr>
            <w:r>
              <w:rPr>
                <w:rFonts w:ascii="Verdana" w:cs="Verdana" w:eastAsia="Verdana" w:hAnsi="Verdana"/>
                <w:sz w:val="16"/>
                <w:szCs w:val="16"/>
                <w:color w:val="auto"/>
                <w:w w:val="97"/>
              </w:rPr>
              <w:t>$</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1.09</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39"/>
              <w:spacing w:after="0"/>
              <w:rPr>
                <w:sz w:val="20"/>
                <w:szCs w:val="20"/>
                <w:color w:val="auto"/>
              </w:rPr>
            </w:pPr>
            <w:r>
              <w:rPr>
                <w:rFonts w:ascii="Verdana" w:cs="Verdana" w:eastAsia="Verdana" w:hAnsi="Verdana"/>
                <w:sz w:val="16"/>
                <w:szCs w:val="16"/>
                <w:color w:val="auto"/>
                <w:w w:val="97"/>
              </w:rPr>
              <w:t>$</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1.00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Verdana" w:cs="Verdana" w:eastAsia="Verdana" w:hAnsi="Verdana"/>
                <w:sz w:val="16"/>
                <w:szCs w:val="16"/>
                <w:color w:val="auto"/>
                <w:w w:val="97"/>
              </w:rPr>
              <w:t>$</w:t>
            </w:r>
          </w:p>
        </w:tc>
        <w:tc>
          <w:tcPr>
            <w:tcW w:w="10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1.07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1.04</w:t>
            </w:r>
          </w:p>
        </w:tc>
      </w:tr>
      <w:tr>
        <w:trPr>
          <w:trHeight w:val="20"/>
        </w:trPr>
        <w:tc>
          <w:tcPr>
            <w:tcW w:w="4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3"/>
        </w:trPr>
        <w:tc>
          <w:tcPr>
            <w:tcW w:w="4660" w:type="dxa"/>
            <w:vAlign w:val="bottom"/>
          </w:tcPr>
          <w:p>
            <w:pPr>
              <w:spacing w:after="0"/>
              <w:rPr>
                <w:sz w:val="20"/>
                <w:szCs w:val="20"/>
                <w:color w:val="auto"/>
              </w:rPr>
            </w:pPr>
            <w:r>
              <w:rPr>
                <w:rFonts w:ascii="Verdana" w:cs="Verdana" w:eastAsia="Verdana" w:hAnsi="Verdana"/>
                <w:sz w:val="16"/>
                <w:szCs w:val="16"/>
                <w:color w:val="auto"/>
              </w:rPr>
              <w:t>Production depletion</w:t>
            </w:r>
          </w:p>
        </w:tc>
        <w:tc>
          <w:tcPr>
            <w:tcW w:w="1060" w:type="dxa"/>
            <w:vAlign w:val="bottom"/>
          </w:tcPr>
          <w:p>
            <w:pPr>
              <w:jc w:val="right"/>
              <w:ind w:right="859"/>
              <w:spacing w:after="0"/>
              <w:rPr>
                <w:sz w:val="20"/>
                <w:szCs w:val="20"/>
                <w:color w:val="auto"/>
              </w:rPr>
            </w:pPr>
            <w:r>
              <w:rPr>
                <w:rFonts w:ascii="Verdana" w:cs="Verdana" w:eastAsia="Verdana" w:hAnsi="Verdana"/>
                <w:sz w:val="16"/>
                <w:szCs w:val="16"/>
                <w:color w:val="auto"/>
                <w:w w:val="97"/>
              </w:rPr>
              <w:t>$</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0.94</w:t>
            </w:r>
          </w:p>
        </w:tc>
        <w:tc>
          <w:tcPr>
            <w:tcW w:w="100" w:type="dxa"/>
            <w:vAlign w:val="bottom"/>
          </w:tcPr>
          <w:p>
            <w:pPr>
              <w:spacing w:after="0"/>
              <w:rPr>
                <w:sz w:val="24"/>
                <w:szCs w:val="24"/>
                <w:color w:val="auto"/>
              </w:rPr>
            </w:pPr>
          </w:p>
        </w:tc>
        <w:tc>
          <w:tcPr>
            <w:tcW w:w="1040" w:type="dxa"/>
            <w:vAlign w:val="bottom"/>
          </w:tcPr>
          <w:p>
            <w:pPr>
              <w:jc w:val="right"/>
              <w:ind w:right="839"/>
              <w:spacing w:after="0"/>
              <w:rPr>
                <w:sz w:val="20"/>
                <w:szCs w:val="20"/>
                <w:color w:val="auto"/>
              </w:rPr>
            </w:pPr>
            <w:r>
              <w:rPr>
                <w:rFonts w:ascii="Verdana" w:cs="Verdana" w:eastAsia="Verdana" w:hAnsi="Verdana"/>
                <w:sz w:val="16"/>
                <w:szCs w:val="16"/>
                <w:color w:val="auto"/>
                <w:w w:val="97"/>
              </w:rPr>
              <w:t>$</w:t>
            </w:r>
          </w:p>
        </w:tc>
        <w:tc>
          <w:tcPr>
            <w:tcW w:w="500" w:type="dxa"/>
            <w:vAlign w:val="bottom"/>
          </w:tcPr>
          <w:p>
            <w:pPr>
              <w:jc w:val="right"/>
              <w:spacing w:after="0"/>
              <w:rPr>
                <w:sz w:val="20"/>
                <w:szCs w:val="20"/>
                <w:color w:val="auto"/>
              </w:rPr>
            </w:pPr>
            <w:r>
              <w:rPr>
                <w:rFonts w:ascii="Verdana" w:cs="Verdana" w:eastAsia="Verdana" w:hAnsi="Verdana"/>
                <w:sz w:val="16"/>
                <w:szCs w:val="16"/>
                <w:color w:val="auto"/>
              </w:rPr>
              <w:t>0.95</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Verdana" w:cs="Verdana" w:eastAsia="Verdana" w:hAnsi="Verdana"/>
                <w:sz w:val="16"/>
                <w:szCs w:val="16"/>
                <w:color w:val="auto"/>
                <w:w w:val="97"/>
              </w:rPr>
              <w:t>$</w:t>
            </w:r>
          </w:p>
        </w:tc>
        <w:tc>
          <w:tcPr>
            <w:tcW w:w="1060" w:type="dxa"/>
            <w:vAlign w:val="bottom"/>
          </w:tcPr>
          <w:p>
            <w:pPr>
              <w:jc w:val="right"/>
              <w:spacing w:after="0"/>
              <w:rPr>
                <w:sz w:val="20"/>
                <w:szCs w:val="20"/>
                <w:color w:val="auto"/>
              </w:rPr>
            </w:pPr>
            <w:r>
              <w:rPr>
                <w:rFonts w:ascii="Verdana" w:cs="Verdana" w:eastAsia="Verdana" w:hAnsi="Verdana"/>
                <w:sz w:val="16"/>
                <w:szCs w:val="16"/>
                <w:color w:val="auto"/>
              </w:rPr>
              <w:t>0.94</w:t>
            </w:r>
          </w:p>
        </w:tc>
        <w:tc>
          <w:tcPr>
            <w:tcW w:w="12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0.95</w:t>
            </w:r>
          </w:p>
        </w:tc>
      </w:tr>
    </w:tbl>
    <w:p>
      <w:pPr>
        <w:spacing w:after="0" w:line="320" w:lineRule="exact"/>
        <w:rPr>
          <w:sz w:val="20"/>
          <w:szCs w:val="20"/>
          <w:color w:val="auto"/>
        </w:rPr>
      </w:pPr>
    </w:p>
    <w:p>
      <w:pPr>
        <w:jc w:val="both"/>
        <w:ind w:left="660" w:hanging="328"/>
        <w:spacing w:after="0" w:line="259" w:lineRule="auto"/>
        <w:tabs>
          <w:tab w:leader="none" w:pos="647" w:val="left"/>
        </w:tabs>
        <w:numPr>
          <w:ilvl w:val="0"/>
          <w:numId w:val="7"/>
        </w:numPr>
        <w:rPr>
          <w:rFonts w:ascii="Verdana" w:cs="Verdana" w:eastAsia="Verdana" w:hAnsi="Verdana"/>
          <w:sz w:val="14"/>
          <w:szCs w:val="14"/>
          <w:color w:val="auto"/>
        </w:rPr>
      </w:pPr>
      <w:r>
        <w:rPr>
          <w:rFonts w:ascii="Verdana" w:cs="Verdana" w:eastAsia="Verdana" w:hAnsi="Verdana"/>
          <w:sz w:val="14"/>
          <w:szCs w:val="14"/>
          <w:color w:val="auto"/>
        </w:rPr>
        <w:t>References in this news release to the "Company" refer to EQT Corporation together with its consolidated subsidiaries. As used throughout this news release, per unit operating costs reflect, for each period presented, the consolidated amount of such operating cost for the Company (aggregated irrespective of business segment) divided by total sales volume (Mcfe).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0" w:right="339" w:bottom="1440" w:gutter="0" w:footer="0" w:header="0"/>
        </w:sectPr>
      </w:pPr>
    </w:p>
    <w:bookmarkStart w:id="5" w:name="page6"/>
    <w:bookmarkEnd w:id="5"/>
    <w:p>
      <w:pPr>
        <w:spacing w:after="0" w:line="253" w:lineRule="auto"/>
        <w:rPr>
          <w:sz w:val="20"/>
          <w:szCs w:val="20"/>
          <w:color w:val="auto"/>
        </w:rPr>
      </w:pPr>
      <w:r>
        <w:rPr>
          <w:rFonts w:ascii="Verdana" w:cs="Verdana" w:eastAsia="Verdana" w:hAnsi="Verdana"/>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Gathering expense per Mcfe increased for the three months ended September 30, 2026 compared to the same period in 2025 due primarily to higher volumes gathered by third parties from wells turned-in-line in the first quarter of 2026.</w:t>
      </w:r>
    </w:p>
    <w:p>
      <w:pPr>
        <w:spacing w:after="0" w:line="225"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Transmission expense per Mcfe increased for the three months ended September 30, 2026 compared to the same period in 2025 due primarily to lower sales volume.</w:t>
      </w:r>
    </w:p>
    <w:p>
      <w:pPr>
        <w:spacing w:after="0" w:line="225"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Selling, general and administrative expense increased for the three months ended September 30, 2026 compared to the same period in 2025 due primarily to higher long-term incentive compensation costs and higher professional service costs.</w:t>
      </w:r>
    </w:p>
    <w:p>
      <w:pPr>
        <w:spacing w:after="0" w:line="20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Liquidity</w:t>
      </w:r>
    </w:p>
    <w:p>
      <w:pPr>
        <w:spacing w:after="0"/>
        <w:rPr>
          <w:sz w:val="20"/>
          <w:szCs w:val="20"/>
          <w:color w:val="auto"/>
        </w:rPr>
      </w:pPr>
      <w:r>
        <w:rPr>
          <w:rFonts w:ascii="Verdana" w:cs="Verdana" w:eastAsia="Verdana" w:hAnsi="Verdana"/>
          <w:sz w:val="16"/>
          <w:szCs w:val="16"/>
          <w:color w:val="auto"/>
        </w:rPr>
        <w:t>As of September 30, 2026, the Company had $63 million of borrowings outstanding under EQT Corporation's $3.5 billion revolving credit</w:t>
      </w:r>
    </w:p>
    <w:p>
      <w:pPr>
        <w:spacing w:after="0" w:line="8"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facility. Total liquidity, excluding available capacity under Eureka Midstream, LLC's (Eureka) revolving credit facility, as of September 30, 2026 was approximately $3.5 billion.</w:t>
      </w:r>
    </w:p>
    <w:p>
      <w:pPr>
        <w:spacing w:after="0" w:line="214" w:lineRule="exact"/>
        <w:rPr>
          <w:sz w:val="20"/>
          <w:szCs w:val="20"/>
          <w:color w:val="auto"/>
        </w:rPr>
      </w:pPr>
    </w:p>
    <w:p>
      <w:pPr>
        <w:ind w:right="20"/>
        <w:spacing w:after="0" w:line="218" w:lineRule="auto"/>
        <w:rPr>
          <w:sz w:val="20"/>
          <w:szCs w:val="20"/>
          <w:color w:val="auto"/>
        </w:rPr>
      </w:pPr>
      <w:r>
        <w:rPr>
          <w:rFonts w:ascii="Verdana" w:cs="Verdana" w:eastAsia="Verdana" w:hAnsi="Verdana"/>
          <w:sz w:val="16"/>
          <w:szCs w:val="16"/>
          <w:color w:val="auto"/>
        </w:rPr>
        <w:t>As of September 30, 2026, total debt and net debt</w:t>
      </w:r>
      <w:r>
        <w:rPr>
          <w:rFonts w:ascii="Verdana" w:cs="Verdana" w:eastAsia="Verdana" w:hAnsi="Verdana"/>
          <w:sz w:val="21"/>
          <w:szCs w:val="21"/>
          <w:color w:val="auto"/>
          <w:vertAlign w:val="superscript"/>
        </w:rPr>
        <w:t>(1)</w:t>
      </w:r>
      <w:r>
        <w:rPr>
          <w:rFonts w:ascii="Verdana" w:cs="Verdana" w:eastAsia="Verdana" w:hAnsi="Verdana"/>
          <w:sz w:val="16"/>
          <w:szCs w:val="16"/>
          <w:color w:val="auto"/>
        </w:rPr>
        <w:t xml:space="preserve"> were $5.6 billion and $5.5 billion, respectively, compared to $7.8 billion and $7.7 billion, respectively, as of December 31, 2025.</w:t>
      </w:r>
    </w:p>
    <w:p>
      <w:pPr>
        <w:spacing w:after="0" w:line="228" w:lineRule="exact"/>
        <w:rPr>
          <w:sz w:val="20"/>
          <w:szCs w:val="20"/>
          <w:color w:val="auto"/>
        </w:rPr>
      </w:pPr>
    </w:p>
    <w:p>
      <w:pPr>
        <w:ind w:left="660" w:hanging="328"/>
        <w:spacing w:after="0" w:line="270" w:lineRule="auto"/>
        <w:tabs>
          <w:tab w:leader="none" w:pos="652" w:val="left"/>
        </w:tabs>
        <w:numPr>
          <w:ilvl w:val="0"/>
          <w:numId w:val="8"/>
        </w:numPr>
        <w:rPr>
          <w:rFonts w:ascii="Verdana" w:cs="Verdana" w:eastAsia="Verdana" w:hAnsi="Verdana"/>
          <w:sz w:val="14"/>
          <w:szCs w:val="14"/>
          <w:color w:val="auto"/>
        </w:rPr>
      </w:pPr>
      <w:r>
        <w:rPr>
          <w:rFonts w:ascii="Verdana" w:cs="Verdana" w:eastAsia="Verdana" w:hAnsi="Verdana"/>
          <w:sz w:val="14"/>
          <w:szCs w:val="14"/>
          <w:color w:val="auto"/>
        </w:rPr>
        <w:t>A non-GAAP financial measure. See the Non-GAAP Disclosures section of this news release for the definition of, and other important information regarding, this non-GAAP financial measure.</w:t>
      </w:r>
    </w:p>
    <w:p>
      <w:pPr>
        <w:spacing w:after="0" w:line="20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Fourth Quarter 2026 Outlook</w:t>
      </w:r>
    </w:p>
    <w:p>
      <w:pPr>
        <w:jc w:val="both"/>
        <w:spacing w:after="0" w:line="241" w:lineRule="auto"/>
        <w:rPr>
          <w:sz w:val="20"/>
          <w:szCs w:val="20"/>
          <w:color w:val="auto"/>
        </w:rPr>
      </w:pPr>
      <w:r>
        <w:rPr>
          <w:rFonts w:ascii="Verdana" w:cs="Verdana" w:eastAsia="Verdana" w:hAnsi="Verdana"/>
          <w:sz w:val="16"/>
          <w:szCs w:val="16"/>
          <w:color w:val="auto"/>
        </w:rPr>
        <w:t>The Company expects total sales volume of 550 – 600 Bcfe in the fourth quarter of 2026, which includes the impact of 10 – 20 Bcfe of strategic curtailments. The Company expects $540 – $610 million of maintenance capital expenditures in the fourth quarter of 2026.</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Strategic growth capital expenditures in the fourth quarter of 2026 are expected to total $185 – $225 million. The Company plans to turn-in-line (TIL) 16 – 26 net wells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w:t>
      </w:r>
    </w:p>
    <w:p>
      <w:pPr>
        <w:sectPr>
          <w:pgSz w:w="11900" w:h="16838" w:orient="portrait"/>
          <w:cols w:equalWidth="0" w:num="1">
            <w:col w:w="11240"/>
          </w:cols>
          <w:pgMar w:left="320" w:top="1421"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2026 Guidance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Borders>
              <w:top w:val="single" w:sz="8" w:color="auto"/>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Production</w:t>
            </w:r>
          </w:p>
        </w:tc>
        <w:tc>
          <w:tcPr>
            <w:tcW w:w="2380" w:type="dxa"/>
            <w:vAlign w:val="bottom"/>
            <w:tcBorders>
              <w:top w:val="single" w:sz="8" w:color="auto"/>
              <w:bottom w:val="single" w:sz="8" w:color="auto"/>
            </w:tcBorders>
            <w:gridSpan w:val="2"/>
          </w:tcPr>
          <w:p>
            <w:pPr>
              <w:ind w:left="800"/>
              <w:spacing w:after="0"/>
              <w:rPr>
                <w:sz w:val="20"/>
                <w:szCs w:val="20"/>
                <w:color w:val="auto"/>
              </w:rPr>
            </w:pPr>
            <w:r>
              <w:rPr>
                <w:rFonts w:ascii="Verdana" w:cs="Verdana" w:eastAsia="Verdana" w:hAnsi="Verdana"/>
                <w:sz w:val="16"/>
                <w:szCs w:val="16"/>
                <w:b w:val="1"/>
                <w:bCs w:val="1"/>
                <w:color w:val="auto"/>
              </w:rPr>
              <w:t>Q4 2026</w:t>
            </w:r>
          </w:p>
        </w:tc>
        <w:tc>
          <w:tcPr>
            <w:tcW w:w="2340" w:type="dxa"/>
            <w:vAlign w:val="bottom"/>
            <w:tcBorders>
              <w:top w:val="single" w:sz="8" w:color="auto"/>
              <w:bottom w:val="single" w:sz="8" w:color="auto"/>
            </w:tcBorders>
            <w:gridSpan w:val="2"/>
          </w:tcPr>
          <w:p>
            <w:pPr>
              <w:ind w:left="540"/>
              <w:spacing w:after="0"/>
              <w:rPr>
                <w:sz w:val="20"/>
                <w:szCs w:val="20"/>
                <w:color w:val="auto"/>
              </w:rPr>
            </w:pPr>
            <w:r>
              <w:rPr>
                <w:rFonts w:ascii="Verdana" w:cs="Verdana" w:eastAsia="Verdana" w:hAnsi="Verdana"/>
                <w:sz w:val="16"/>
                <w:szCs w:val="16"/>
                <w:b w:val="1"/>
                <w:bCs w:val="1"/>
                <w:color w:val="auto"/>
              </w:rPr>
              <w:t>Full Year 2026</w:t>
            </w:r>
          </w:p>
        </w:tc>
      </w:tr>
      <w:tr>
        <w:trPr>
          <w:trHeight w:val="207"/>
        </w:trPr>
        <w:tc>
          <w:tcPr>
            <w:tcW w:w="6520" w:type="dxa"/>
            <w:vAlign w:val="bottom"/>
          </w:tcPr>
          <w:p>
            <w:pPr>
              <w:ind w:left="20"/>
              <w:spacing w:after="0"/>
              <w:rPr>
                <w:sz w:val="20"/>
                <w:szCs w:val="20"/>
                <w:color w:val="auto"/>
              </w:rPr>
            </w:pPr>
            <w:r>
              <w:rPr>
                <w:rFonts w:ascii="Verdana" w:cs="Verdana" w:eastAsia="Verdana" w:hAnsi="Verdana"/>
                <w:sz w:val="16"/>
                <w:szCs w:val="16"/>
                <w:color w:val="auto"/>
              </w:rPr>
              <w:t>Total sales volume (Bcfe)</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600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2,375</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2,450</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Liquids sales volume, excluding ethane (Mbbl)</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3,150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3,450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14,700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15,000</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Ethane sales volume (Mbbl)</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1,900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2,050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8,850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9,000</w:t>
            </w:r>
          </w:p>
        </w:tc>
      </w:tr>
      <w:tr>
        <w:trPr>
          <w:trHeight w:val="216"/>
        </w:trPr>
        <w:tc>
          <w:tcPr>
            <w:tcW w:w="6520" w:type="dxa"/>
            <w:vAlign w:val="bottom"/>
          </w:tcPr>
          <w:p>
            <w:pPr>
              <w:ind w:left="240"/>
              <w:spacing w:after="0"/>
              <w:rPr>
                <w:sz w:val="20"/>
                <w:szCs w:val="20"/>
                <w:color w:val="auto"/>
              </w:rPr>
            </w:pPr>
            <w:r>
              <w:rPr>
                <w:rFonts w:ascii="Verdana" w:cs="Verdana" w:eastAsia="Verdana" w:hAnsi="Verdana"/>
                <w:sz w:val="16"/>
                <w:szCs w:val="16"/>
                <w:color w:val="auto"/>
              </w:rPr>
              <w:t>Total liquids sales volume (Mbbl)</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5,050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5,500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23,550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24,000</w:t>
            </w:r>
          </w:p>
        </w:tc>
      </w:tr>
      <w:tr>
        <w:trPr>
          <w:trHeight w:val="473"/>
        </w:trPr>
        <w:tc>
          <w:tcPr>
            <w:tcW w:w="6520" w:type="dxa"/>
            <w:vAlign w:val="bottom"/>
          </w:tcPr>
          <w:p>
            <w:pPr>
              <w:ind w:left="20"/>
              <w:spacing w:after="0"/>
              <w:rPr>
                <w:sz w:val="20"/>
                <w:szCs w:val="20"/>
                <w:color w:val="auto"/>
              </w:rPr>
            </w:pPr>
            <w:r>
              <w:rPr>
                <w:rFonts w:ascii="Verdana" w:cs="Verdana" w:eastAsia="Verdana" w:hAnsi="Verdana"/>
                <w:sz w:val="16"/>
                <w:szCs w:val="16"/>
                <w:color w:val="auto"/>
              </w:rPr>
              <w:t>Btu uplift (MMBtu/Mcf)</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1.050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1.060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1.050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1.060</w:t>
            </w:r>
          </w:p>
        </w:tc>
      </w:tr>
      <w:tr>
        <w:trPr>
          <w:trHeight w:val="262"/>
        </w:trPr>
        <w:tc>
          <w:tcPr>
            <w:tcW w:w="6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07"/>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Average Differential ($/Mcf, including basis hedges)</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($0.65)</w:t>
            </w:r>
          </w:p>
        </w:tc>
        <w:tc>
          <w:tcPr>
            <w:tcW w:w="1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b w:val="1"/>
                <w:bCs w:val="1"/>
                <w:color w:val="auto"/>
              </w:rPr>
              <w:t>– ($0.55)</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($0.55)</w:t>
            </w:r>
          </w:p>
        </w:tc>
        <w:tc>
          <w:tcPr>
            <w:tcW w:w="12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b w:val="1"/>
                <w:bCs w:val="1"/>
                <w:color w:val="auto"/>
              </w:rPr>
              <w:t>– ($0.35)</w:t>
            </w:r>
          </w:p>
        </w:tc>
      </w:tr>
      <w:tr>
        <w:trPr>
          <w:trHeight w:val="239"/>
        </w:trPr>
        <w:tc>
          <w:tcPr>
            <w:tcW w:w="6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7"/>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Resource Counts</w:t>
            </w:r>
          </w:p>
        </w:tc>
        <w:tc>
          <w:tcPr>
            <w:tcW w:w="1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7"/>
        </w:trPr>
        <w:tc>
          <w:tcPr>
            <w:tcW w:w="6520" w:type="dxa"/>
            <w:vAlign w:val="bottom"/>
          </w:tcPr>
          <w:p>
            <w:pPr>
              <w:ind w:left="20"/>
              <w:spacing w:after="0"/>
              <w:rPr>
                <w:sz w:val="20"/>
                <w:szCs w:val="20"/>
                <w:color w:val="auto"/>
              </w:rPr>
            </w:pPr>
            <w:r>
              <w:rPr>
                <w:rFonts w:ascii="Verdana" w:cs="Verdana" w:eastAsia="Verdana" w:hAnsi="Verdana"/>
                <w:sz w:val="16"/>
                <w:szCs w:val="16"/>
                <w:color w:val="auto"/>
              </w:rPr>
              <w:t>Top-hole rigs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3</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3</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Horizontal rigs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3</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4</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3</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4</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Frac crews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3</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3</w:t>
            </w:r>
          </w:p>
        </w:tc>
      </w:tr>
      <w:tr>
        <w:trPr>
          <w:trHeight w:val="262"/>
        </w:trPr>
        <w:tc>
          <w:tcPr>
            <w:tcW w:w="6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07"/>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Third-party Midstream Revenue ($ Millions)</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$145</w:t>
            </w:r>
          </w:p>
        </w:tc>
        <w:tc>
          <w:tcPr>
            <w:tcW w:w="1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b w:val="1"/>
                <w:bCs w:val="1"/>
                <w:color w:val="auto"/>
              </w:rPr>
              <w:t>– $170</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b w:val="1"/>
                <w:bCs w:val="1"/>
                <w:color w:val="auto"/>
              </w:rPr>
              <w:t>$600</w:t>
            </w:r>
          </w:p>
        </w:tc>
        <w:tc>
          <w:tcPr>
            <w:tcW w:w="12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b w:val="1"/>
                <w:bCs w:val="1"/>
                <w:color w:val="auto"/>
              </w:rPr>
              <w:t>– $700</w:t>
            </w:r>
          </w:p>
        </w:tc>
      </w:tr>
      <w:tr>
        <w:trPr>
          <w:trHeight w:val="239"/>
        </w:trPr>
        <w:tc>
          <w:tcPr>
            <w:tcW w:w="6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7"/>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Per Unit Operating Costs ($/Mcfe)</w:t>
            </w:r>
          </w:p>
        </w:tc>
        <w:tc>
          <w:tcPr>
            <w:tcW w:w="1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7"/>
        </w:trPr>
        <w:tc>
          <w:tcPr>
            <w:tcW w:w="6520" w:type="dxa"/>
            <w:vAlign w:val="bottom"/>
          </w:tcPr>
          <w:p>
            <w:pPr>
              <w:ind w:left="20"/>
              <w:spacing w:after="0"/>
              <w:rPr>
                <w:sz w:val="20"/>
                <w:szCs w:val="20"/>
                <w:color w:val="auto"/>
              </w:rPr>
            </w:pPr>
            <w:r>
              <w:rPr>
                <w:rFonts w:ascii="Verdana" w:cs="Verdana" w:eastAsia="Verdana" w:hAnsi="Verdana"/>
                <w:sz w:val="16"/>
                <w:szCs w:val="16"/>
                <w:color w:val="auto"/>
              </w:rPr>
              <w:t>Gathering</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$0.08</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$0.10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$0.09</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$0.11</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Transmission</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$0.43</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$0.45</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$0.41</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$0.44</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Processing</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$0.11</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$0.13</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$0.11</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$0.13</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LOE</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$0.11</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$0.13</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$0.10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$0.12</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Production taxes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$0.06</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$0.08</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$0.07</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$0.09</w:t>
            </w:r>
          </w:p>
        </w:tc>
      </w:tr>
      <w:tr>
        <w:trPr>
          <w:trHeight w:val="216"/>
        </w:trPr>
        <w:tc>
          <w:tcPr>
            <w:tcW w:w="6520" w:type="dxa"/>
            <w:vAlign w:val="bottom"/>
          </w:tcPr>
          <w:p>
            <w:pPr>
              <w:ind w:left="20"/>
              <w:spacing w:after="0"/>
              <w:rPr>
                <w:sz w:val="20"/>
                <w:szCs w:val="20"/>
                <w:color w:val="auto"/>
              </w:rPr>
            </w:pPr>
            <w:r>
              <w:rPr>
                <w:rFonts w:ascii="Verdana" w:cs="Verdana" w:eastAsia="Verdana" w:hAnsi="Verdana"/>
                <w:sz w:val="16"/>
                <w:szCs w:val="16"/>
                <w:color w:val="auto"/>
              </w:rPr>
              <w:t>O&amp;M</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$0.12</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$0.14</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$0.09</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$0.11</w:t>
            </w:r>
          </w:p>
        </w:tc>
      </w:tr>
      <w:tr>
        <w:trPr>
          <w:trHeight w:val="219"/>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color w:val="auto"/>
              </w:rPr>
              <w:t>SG&amp;A</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$0.23</w:t>
            </w:r>
          </w:p>
        </w:tc>
        <w:tc>
          <w:tcPr>
            <w:tcW w:w="1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 $0.25</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$0.18</w:t>
            </w:r>
          </w:p>
        </w:tc>
        <w:tc>
          <w:tcPr>
            <w:tcW w:w="12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 $0.20</w:t>
            </w:r>
          </w:p>
        </w:tc>
      </w:tr>
      <w:tr>
        <w:trPr>
          <w:trHeight w:val="207"/>
        </w:trPr>
        <w:tc>
          <w:tcPr>
            <w:tcW w:w="6520" w:type="dxa"/>
            <w:vAlign w:val="bottom"/>
          </w:tcPr>
          <w:p>
            <w:pPr>
              <w:ind w:left="240"/>
              <w:spacing w:after="0"/>
              <w:rPr>
                <w:sz w:val="20"/>
                <w:szCs w:val="20"/>
                <w:color w:val="auto"/>
              </w:rPr>
            </w:pPr>
            <w:r>
              <w:rPr>
                <w:rFonts w:ascii="Verdana" w:cs="Verdana" w:eastAsia="Verdana" w:hAnsi="Verdana"/>
                <w:sz w:val="16"/>
                <w:szCs w:val="16"/>
                <w:b w:val="1"/>
                <w:bCs w:val="1"/>
                <w:color w:val="auto"/>
              </w:rPr>
              <w:t>Operating costs</w:t>
            </w:r>
          </w:p>
        </w:tc>
        <w:tc>
          <w:tcPr>
            <w:tcW w:w="1100" w:type="dxa"/>
            <w:vAlign w:val="bottom"/>
          </w:tcPr>
          <w:p>
            <w:pPr>
              <w:jc w:val="right"/>
              <w:spacing w:after="0"/>
              <w:rPr>
                <w:sz w:val="20"/>
                <w:szCs w:val="20"/>
                <w:color w:val="auto"/>
              </w:rPr>
            </w:pPr>
            <w:r>
              <w:rPr>
                <w:rFonts w:ascii="Verdana" w:cs="Verdana" w:eastAsia="Verdana" w:hAnsi="Verdana"/>
                <w:sz w:val="16"/>
                <w:szCs w:val="16"/>
                <w:b w:val="1"/>
                <w:bCs w:val="1"/>
                <w:color w:val="auto"/>
              </w:rPr>
              <w:t>$1.14</w:t>
            </w:r>
          </w:p>
        </w:tc>
        <w:tc>
          <w:tcPr>
            <w:tcW w:w="1280" w:type="dxa"/>
            <w:vAlign w:val="bottom"/>
          </w:tcPr>
          <w:p>
            <w:pPr>
              <w:ind w:left="40"/>
              <w:spacing w:after="0"/>
              <w:rPr>
                <w:sz w:val="20"/>
                <w:szCs w:val="20"/>
                <w:color w:val="auto"/>
              </w:rPr>
            </w:pPr>
            <w:r>
              <w:rPr>
                <w:rFonts w:ascii="Verdana" w:cs="Verdana" w:eastAsia="Verdana" w:hAnsi="Verdana"/>
                <w:sz w:val="16"/>
                <w:szCs w:val="16"/>
                <w:b w:val="1"/>
                <w:bCs w:val="1"/>
                <w:color w:val="auto"/>
              </w:rPr>
              <w:t>– $1.28</w:t>
            </w:r>
          </w:p>
        </w:tc>
        <w:tc>
          <w:tcPr>
            <w:tcW w:w="1100" w:type="dxa"/>
            <w:vAlign w:val="bottom"/>
          </w:tcPr>
          <w:p>
            <w:pPr>
              <w:jc w:val="right"/>
              <w:spacing w:after="0"/>
              <w:rPr>
                <w:sz w:val="20"/>
                <w:szCs w:val="20"/>
                <w:color w:val="auto"/>
              </w:rPr>
            </w:pPr>
            <w:r>
              <w:rPr>
                <w:rFonts w:ascii="Verdana" w:cs="Verdana" w:eastAsia="Verdana" w:hAnsi="Verdana"/>
                <w:sz w:val="16"/>
                <w:szCs w:val="16"/>
                <w:b w:val="1"/>
                <w:bCs w:val="1"/>
                <w:color w:val="auto"/>
              </w:rPr>
              <w:t>$1.05</w:t>
            </w:r>
          </w:p>
        </w:tc>
        <w:tc>
          <w:tcPr>
            <w:tcW w:w="1240" w:type="dxa"/>
            <w:vAlign w:val="bottom"/>
          </w:tcPr>
          <w:p>
            <w:pPr>
              <w:ind w:left="40"/>
              <w:spacing w:after="0"/>
              <w:rPr>
                <w:sz w:val="20"/>
                <w:szCs w:val="20"/>
                <w:color w:val="auto"/>
              </w:rPr>
            </w:pPr>
            <w:r>
              <w:rPr>
                <w:rFonts w:ascii="Verdana" w:cs="Verdana" w:eastAsia="Verdana" w:hAnsi="Verdana"/>
                <w:sz w:val="16"/>
                <w:szCs w:val="16"/>
                <w:b w:val="1"/>
                <w:bCs w:val="1"/>
                <w:color w:val="auto"/>
              </w:rPr>
              <w:t>– $1.20</w:t>
            </w:r>
          </w:p>
        </w:tc>
      </w:tr>
      <w:tr>
        <w:trPr>
          <w:trHeight w:val="262"/>
        </w:trPr>
        <w:tc>
          <w:tcPr>
            <w:tcW w:w="7620" w:type="dxa"/>
            <w:vAlign w:val="bottom"/>
            <w:tcBorders>
              <w:bottom w:val="single" w:sz="8" w:color="auto"/>
            </w:tcBorders>
            <w:gridSpan w:val="2"/>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07"/>
        </w:trPr>
        <w:tc>
          <w:tcPr>
            <w:tcW w:w="7620" w:type="dxa"/>
            <w:vAlign w:val="bottom"/>
            <w:tcBorders>
              <w:bottom w:val="single" w:sz="8" w:color="auto"/>
            </w:tcBorders>
            <w:gridSpan w:val="2"/>
          </w:tcPr>
          <w:p>
            <w:pPr>
              <w:ind w:left="20"/>
              <w:spacing w:after="0"/>
              <w:rPr>
                <w:sz w:val="20"/>
                <w:szCs w:val="20"/>
                <w:color w:val="auto"/>
              </w:rPr>
            </w:pPr>
            <w:r>
              <w:rPr>
                <w:rFonts w:ascii="Verdana" w:cs="Verdana" w:eastAsia="Verdana" w:hAnsi="Verdana"/>
                <w:sz w:val="16"/>
                <w:szCs w:val="16"/>
                <w:b w:val="1"/>
                <w:bCs w:val="1"/>
                <w:color w:val="auto"/>
              </w:rPr>
              <w:t>Equity Method Investments and Midstream JV Noncontrolling Interest ($ Millions)</w:t>
            </w: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7"/>
        </w:trPr>
        <w:tc>
          <w:tcPr>
            <w:tcW w:w="6520" w:type="dxa"/>
            <w:vAlign w:val="bottom"/>
          </w:tcPr>
          <w:p>
            <w:pPr>
              <w:ind w:left="20"/>
              <w:spacing w:after="0"/>
              <w:rPr>
                <w:sz w:val="20"/>
                <w:szCs w:val="20"/>
                <w:color w:val="auto"/>
              </w:rPr>
            </w:pPr>
            <w:r>
              <w:rPr>
                <w:rFonts w:ascii="Verdana" w:cs="Verdana" w:eastAsia="Verdana" w:hAnsi="Verdana"/>
                <w:sz w:val="16"/>
                <w:szCs w:val="16"/>
                <w:color w:val="auto"/>
              </w:rPr>
              <w:t>Distributions from equity method investments (a)</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$60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$240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$250</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Distributions to PipeBox LLC (the Midstream JV) noncontrolling interest (b)</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$100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$115</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$430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$470</w:t>
            </w:r>
          </w:p>
        </w:tc>
      </w:tr>
      <w:tr>
        <w:trPr>
          <w:trHeight w:val="263"/>
        </w:trPr>
        <w:tc>
          <w:tcPr>
            <w:tcW w:w="6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07"/>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b w:val="1"/>
                <w:bCs w:val="1"/>
                <w:color w:val="auto"/>
              </w:rPr>
              <w:t>Capital Expenditures and Capital Contributions ($ Millions)</w:t>
            </w:r>
          </w:p>
        </w:tc>
        <w:tc>
          <w:tcPr>
            <w:tcW w:w="1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7"/>
        </w:trPr>
        <w:tc>
          <w:tcPr>
            <w:tcW w:w="6520" w:type="dxa"/>
            <w:vAlign w:val="bottom"/>
          </w:tcPr>
          <w:p>
            <w:pPr>
              <w:ind w:left="20"/>
              <w:spacing w:after="0"/>
              <w:rPr>
                <w:sz w:val="20"/>
                <w:szCs w:val="20"/>
                <w:color w:val="auto"/>
              </w:rPr>
            </w:pPr>
            <w:r>
              <w:rPr>
                <w:rFonts w:ascii="Verdana" w:cs="Verdana" w:eastAsia="Verdana" w:hAnsi="Verdana"/>
                <w:sz w:val="16"/>
                <w:szCs w:val="16"/>
                <w:color w:val="auto"/>
              </w:rPr>
              <w:t>Upstream maintenance</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$435</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$485</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$1,590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$1,640</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Midstream maintenance</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$60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$210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$220</w:t>
            </w:r>
          </w:p>
        </w:tc>
      </w:tr>
      <w:tr>
        <w:trPr>
          <w:trHeight w:val="219"/>
        </w:trPr>
        <w:tc>
          <w:tcPr>
            <w:tcW w:w="6520" w:type="dxa"/>
            <w:vAlign w:val="bottom"/>
            <w:tcBorders>
              <w:bottom w:val="single" w:sz="8" w:color="auto"/>
            </w:tcBorders>
          </w:tcPr>
          <w:p>
            <w:pPr>
              <w:ind w:left="20"/>
              <w:spacing w:after="0"/>
              <w:rPr>
                <w:sz w:val="20"/>
                <w:szCs w:val="20"/>
                <w:color w:val="auto"/>
              </w:rPr>
            </w:pPr>
            <w:r>
              <w:rPr>
                <w:rFonts w:ascii="Verdana" w:cs="Verdana" w:eastAsia="Verdana" w:hAnsi="Verdana"/>
                <w:sz w:val="16"/>
                <w:szCs w:val="16"/>
                <w:color w:val="auto"/>
              </w:rPr>
              <w:t>Corporate and capitalized costs</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$55</w:t>
            </w:r>
          </w:p>
        </w:tc>
        <w:tc>
          <w:tcPr>
            <w:tcW w:w="128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 $65</w:t>
            </w: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$220</w:t>
            </w:r>
          </w:p>
        </w:tc>
        <w:tc>
          <w:tcPr>
            <w:tcW w:w="1240" w:type="dxa"/>
            <w:vAlign w:val="bottom"/>
            <w:tcBorders>
              <w:bottom w:val="single" w:sz="8" w:color="auto"/>
            </w:tcBorders>
          </w:tcPr>
          <w:p>
            <w:pPr>
              <w:ind w:left="40"/>
              <w:spacing w:after="0"/>
              <w:rPr>
                <w:sz w:val="20"/>
                <w:szCs w:val="20"/>
                <w:color w:val="auto"/>
              </w:rPr>
            </w:pPr>
            <w:r>
              <w:rPr>
                <w:rFonts w:ascii="Verdana" w:cs="Verdana" w:eastAsia="Verdana" w:hAnsi="Verdana"/>
                <w:sz w:val="16"/>
                <w:szCs w:val="16"/>
                <w:color w:val="auto"/>
              </w:rPr>
              <w:t>– $240</w:t>
            </w:r>
          </w:p>
        </w:tc>
      </w:tr>
      <w:tr>
        <w:trPr>
          <w:trHeight w:val="207"/>
        </w:trPr>
        <w:tc>
          <w:tcPr>
            <w:tcW w:w="6520" w:type="dxa"/>
            <w:vAlign w:val="bottom"/>
          </w:tcPr>
          <w:p>
            <w:pPr>
              <w:ind w:left="140"/>
              <w:spacing w:after="0"/>
              <w:rPr>
                <w:sz w:val="20"/>
                <w:szCs w:val="20"/>
                <w:color w:val="auto"/>
              </w:rPr>
            </w:pPr>
            <w:r>
              <w:rPr>
                <w:rFonts w:ascii="Verdana" w:cs="Verdana" w:eastAsia="Verdana" w:hAnsi="Verdana"/>
                <w:sz w:val="16"/>
                <w:szCs w:val="16"/>
                <w:color w:val="auto"/>
              </w:rPr>
              <w:t>Total maintenance capital expenditures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$540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$610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$2,020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$2,100</w:t>
            </w:r>
          </w:p>
        </w:tc>
      </w:tr>
      <w:tr>
        <w:trPr>
          <w:trHeight w:val="215"/>
        </w:trPr>
        <w:tc>
          <w:tcPr>
            <w:tcW w:w="6520" w:type="dxa"/>
            <w:vAlign w:val="bottom"/>
          </w:tcPr>
          <w:p>
            <w:pPr>
              <w:ind w:left="20"/>
              <w:spacing w:after="0"/>
              <w:rPr>
                <w:sz w:val="20"/>
                <w:szCs w:val="20"/>
                <w:color w:val="auto"/>
              </w:rPr>
            </w:pPr>
            <w:r>
              <w:rPr>
                <w:rFonts w:ascii="Verdana" w:cs="Verdana" w:eastAsia="Verdana" w:hAnsi="Verdana"/>
                <w:sz w:val="16"/>
                <w:szCs w:val="16"/>
                <w:color w:val="auto"/>
              </w:rPr>
              <w:t>Growth capital expenditures</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$185</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$225</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$580</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$640</w:t>
            </w:r>
          </w:p>
        </w:tc>
      </w:tr>
      <w:tr>
        <w:trPr>
          <w:trHeight w:val="473"/>
        </w:trPr>
        <w:tc>
          <w:tcPr>
            <w:tcW w:w="6520" w:type="dxa"/>
            <w:vAlign w:val="bottom"/>
          </w:tcPr>
          <w:p>
            <w:pPr>
              <w:ind w:left="20"/>
              <w:spacing w:after="0"/>
              <w:rPr>
                <w:sz w:val="20"/>
                <w:szCs w:val="20"/>
                <w:color w:val="auto"/>
              </w:rPr>
            </w:pPr>
            <w:r>
              <w:rPr>
                <w:rFonts w:ascii="Verdana" w:cs="Verdana" w:eastAsia="Verdana" w:hAnsi="Verdana"/>
                <w:sz w:val="16"/>
                <w:szCs w:val="16"/>
                <w:color w:val="auto"/>
              </w:rPr>
              <w:t>Capital contributions to equity method investments (c)</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$30</w:t>
            </w:r>
          </w:p>
        </w:tc>
        <w:tc>
          <w:tcPr>
            <w:tcW w:w="1280" w:type="dxa"/>
            <w:vAlign w:val="bottom"/>
          </w:tcPr>
          <w:p>
            <w:pPr>
              <w:ind w:left="40"/>
              <w:spacing w:after="0"/>
              <w:rPr>
                <w:sz w:val="20"/>
                <w:szCs w:val="20"/>
                <w:color w:val="auto"/>
              </w:rPr>
            </w:pPr>
            <w:r>
              <w:rPr>
                <w:rFonts w:ascii="Verdana" w:cs="Verdana" w:eastAsia="Verdana" w:hAnsi="Verdana"/>
                <w:sz w:val="16"/>
                <w:szCs w:val="16"/>
                <w:color w:val="auto"/>
              </w:rPr>
              <w:t>– $40</w:t>
            </w:r>
          </w:p>
        </w:tc>
        <w:tc>
          <w:tcPr>
            <w:tcW w:w="1100" w:type="dxa"/>
            <w:vAlign w:val="bottom"/>
          </w:tcPr>
          <w:p>
            <w:pPr>
              <w:jc w:val="right"/>
              <w:spacing w:after="0"/>
              <w:rPr>
                <w:sz w:val="20"/>
                <w:szCs w:val="20"/>
                <w:color w:val="auto"/>
              </w:rPr>
            </w:pPr>
            <w:r>
              <w:rPr>
                <w:rFonts w:ascii="Verdana" w:cs="Verdana" w:eastAsia="Verdana" w:hAnsi="Verdana"/>
                <w:sz w:val="16"/>
                <w:szCs w:val="16"/>
                <w:color w:val="auto"/>
              </w:rPr>
              <w:t>$145</w:t>
            </w:r>
          </w:p>
        </w:tc>
        <w:tc>
          <w:tcPr>
            <w:tcW w:w="1240" w:type="dxa"/>
            <w:vAlign w:val="bottom"/>
          </w:tcPr>
          <w:p>
            <w:pPr>
              <w:ind w:left="40"/>
              <w:spacing w:after="0"/>
              <w:rPr>
                <w:sz w:val="20"/>
                <w:szCs w:val="20"/>
                <w:color w:val="auto"/>
              </w:rPr>
            </w:pPr>
            <w:r>
              <w:rPr>
                <w:rFonts w:ascii="Verdana" w:cs="Verdana" w:eastAsia="Verdana" w:hAnsi="Verdana"/>
                <w:sz w:val="16"/>
                <w:szCs w:val="16"/>
                <w:color w:val="auto"/>
              </w:rPr>
              <w:t>– $155</w:t>
            </w:r>
          </w:p>
        </w:tc>
      </w:tr>
    </w:tbl>
    <w:p>
      <w:pPr>
        <w:spacing w:after="0" w:line="326" w:lineRule="exact"/>
        <w:rPr>
          <w:sz w:val="20"/>
          <w:szCs w:val="20"/>
          <w:color w:val="auto"/>
        </w:rPr>
      </w:pPr>
    </w:p>
    <w:p>
      <w:pPr>
        <w:ind w:left="640" w:hanging="308"/>
        <w:spacing w:after="0"/>
        <w:tabs>
          <w:tab w:leader="none" w:pos="640"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Includes distributions from Series A of Mountain Valley Pipeline, LLC for MVP Mainline and Laurel Mountain Midstream, LLC (LMM).</w:t>
      </w:r>
    </w:p>
    <w:p>
      <w:pPr>
        <w:ind w:left="640" w:hanging="308"/>
        <w:spacing w:after="0"/>
        <w:tabs>
          <w:tab w:leader="none" w:pos="640"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Assumes Midstream JV cash distributions of 60% to third-party noncontrolling interest.</w:t>
      </w:r>
    </w:p>
    <w:p>
      <w:pPr>
        <w:spacing w:after="0" w:line="5" w:lineRule="exact"/>
        <w:rPr>
          <w:rFonts w:ascii="Verdana" w:cs="Verdana" w:eastAsia="Verdana" w:hAnsi="Verdana"/>
          <w:sz w:val="14"/>
          <w:szCs w:val="14"/>
          <w:color w:val="auto"/>
        </w:rPr>
      </w:pPr>
    </w:p>
    <w:p>
      <w:pPr>
        <w:jc w:val="both"/>
        <w:ind w:left="660" w:hanging="328"/>
        <w:spacing w:after="0" w:line="270" w:lineRule="auto"/>
        <w:tabs>
          <w:tab w:leader="none" w:pos="649"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Includes capital contributions to Mountain Valley Pipeline, LLC (the MVP Joint Venture), including to Series A of Mountain Valley Pipeline, LLC for MVP Mainline, Series B of Mountain Valley Pipeline, LLC for MVP Southgate and Series C of Mountain Valley Pipeline, LLC for MVP Boost, and LMM.</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w:t>
      </w:r>
    </w:p>
    <w:p>
      <w:pPr>
        <w:sectPr>
          <w:pgSz w:w="11900" w:h="16838" w:orient="portrait"/>
          <w:cols w:equalWidth="0" w:num="1">
            <w:col w:w="11240"/>
          </w:cols>
          <w:pgMar w:left="320" w:top="1430"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Third Quarter 2026 Earnings Webcast Information</w:t>
      </w:r>
    </w:p>
    <w:p>
      <w:pPr>
        <w:jc w:val="both"/>
        <w:spacing w:after="0" w:line="241" w:lineRule="auto"/>
        <w:rPr>
          <w:sz w:val="20"/>
          <w:szCs w:val="20"/>
          <w:color w:val="auto"/>
        </w:rPr>
      </w:pPr>
      <w:r>
        <w:rPr>
          <w:rFonts w:ascii="Verdana" w:cs="Verdana" w:eastAsia="Verdana" w:hAnsi="Verdana"/>
          <w:sz w:val="16"/>
          <w:szCs w:val="16"/>
          <w:color w:val="auto"/>
        </w:rPr>
        <w:t>The Company has canceled its third quarter 2026 earnings conference call following the announcement of EQT's acquisition of Range. A presentation accompanying third quarter 2026 results is available on the Company's investor relations website, ir.eqt.com, under "Events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&amp; Presentations."</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Hedging (as of October 20, 2026)</w:t>
      </w:r>
    </w:p>
    <w:p>
      <w:pPr>
        <w:jc w:val="both"/>
        <w:spacing w:after="0" w:line="266" w:lineRule="auto"/>
        <w:rPr>
          <w:sz w:val="20"/>
          <w:szCs w:val="20"/>
          <w:color w:val="auto"/>
        </w:rPr>
      </w:pPr>
      <w:r>
        <w:rPr>
          <w:rFonts w:ascii="Verdana" w:cs="Verdana" w:eastAsia="Verdana" w:hAnsi="Verdana"/>
          <w:sz w:val="16"/>
          <w:szCs w:val="16"/>
          <w:color w:val="auto"/>
        </w:rPr>
        <w:t>The following table summarizes the approximate volume and prices of the Company's NYMEX hedge positions. The difference between the fixed price and NYMEX price is included in average differential presented in the Company's price reconciliation.</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Verdana" w:cs="Verdana" w:eastAsia="Verdana" w:hAnsi="Verdana"/>
                <w:sz w:val="16"/>
                <w:szCs w:val="16"/>
                <w:b w:val="1"/>
                <w:bCs w:val="1"/>
                <w:color w:val="auto"/>
              </w:rPr>
              <w:t>Q4 2026 (a)</w:t>
            </w: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Verdana" w:cs="Verdana" w:eastAsia="Verdana" w:hAnsi="Verdana"/>
                <w:sz w:val="16"/>
                <w:szCs w:val="16"/>
                <w:b w:val="1"/>
                <w:bCs w:val="1"/>
                <w:color w:val="auto"/>
              </w:rPr>
              <w:t>Q1 2027</w:t>
            </w: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Verdana" w:cs="Verdana" w:eastAsia="Verdana" w:hAnsi="Verdana"/>
                <w:sz w:val="16"/>
                <w:szCs w:val="16"/>
                <w:b w:val="1"/>
                <w:bCs w:val="1"/>
                <w:color w:val="auto"/>
              </w:rPr>
              <w:t>Q2 2027</w:t>
            </w: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Verdana" w:cs="Verdana" w:eastAsia="Verdana" w:hAnsi="Verdana"/>
                <w:sz w:val="16"/>
                <w:szCs w:val="16"/>
                <w:b w:val="1"/>
                <w:bCs w:val="1"/>
                <w:color w:val="auto"/>
              </w:rPr>
              <w:t>Q3 2027</w:t>
            </w:r>
          </w:p>
        </w:tc>
        <w:tc>
          <w:tcPr>
            <w:tcW w:w="24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Verdana" w:cs="Verdana" w:eastAsia="Verdana" w:hAnsi="Verdana"/>
                <w:sz w:val="16"/>
                <w:szCs w:val="16"/>
                <w:b w:val="1"/>
                <w:bCs w:val="1"/>
                <w:color w:val="auto"/>
              </w:rPr>
              <w:t>Q4 2027</w:t>
            </w:r>
          </w:p>
        </w:tc>
      </w:tr>
      <w:tr>
        <w:trPr>
          <w:trHeight w:val="210"/>
        </w:trPr>
        <w:tc>
          <w:tcPr>
            <w:tcW w:w="3520" w:type="dxa"/>
            <w:vAlign w:val="bottom"/>
          </w:tcPr>
          <w:p>
            <w:pPr>
              <w:spacing w:after="0"/>
              <w:rPr>
                <w:sz w:val="20"/>
                <w:szCs w:val="20"/>
                <w:color w:val="auto"/>
              </w:rPr>
            </w:pPr>
            <w:r>
              <w:rPr>
                <w:rFonts w:ascii="Verdana" w:cs="Verdana" w:eastAsia="Verdana" w:hAnsi="Verdana"/>
                <w:sz w:val="16"/>
                <w:szCs w:val="16"/>
                <w:color w:val="auto"/>
              </w:rPr>
              <w:t>Hedged Volume (MMDth)</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Verdana" w:cs="Verdana" w:eastAsia="Verdana" w:hAnsi="Verdana"/>
                <w:sz w:val="16"/>
                <w:szCs w:val="16"/>
                <w:color w:val="auto"/>
              </w:rPr>
              <w:t>108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Verdana" w:cs="Verdana" w:eastAsia="Verdana" w:hAnsi="Verdana"/>
                <w:sz w:val="16"/>
                <w:szCs w:val="16"/>
                <w:color w:val="auto"/>
              </w:rPr>
              <w:t>62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Verdana" w:cs="Verdana" w:eastAsia="Verdana" w:hAnsi="Verdana"/>
                <w:sz w:val="16"/>
                <w:szCs w:val="16"/>
                <w:color w:val="auto"/>
              </w:rPr>
              <w:t>156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Verdana" w:cs="Verdana" w:eastAsia="Verdana" w:hAnsi="Verdana"/>
                <w:sz w:val="16"/>
                <w:szCs w:val="16"/>
                <w:color w:val="auto"/>
              </w:rPr>
              <w:t>174</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Verdana" w:cs="Verdana" w:eastAsia="Verdana" w:hAnsi="Verdana"/>
                <w:sz w:val="16"/>
                <w:szCs w:val="16"/>
                <w:color w:val="auto"/>
              </w:rPr>
              <w:t>70</w:t>
            </w:r>
          </w:p>
        </w:tc>
      </w:tr>
      <w:tr>
        <w:trPr>
          <w:trHeight w:val="215"/>
        </w:trPr>
        <w:tc>
          <w:tcPr>
            <w:tcW w:w="3520" w:type="dxa"/>
            <w:vAlign w:val="bottom"/>
          </w:tcPr>
          <w:p>
            <w:pPr>
              <w:spacing w:after="0"/>
              <w:rPr>
                <w:sz w:val="20"/>
                <w:szCs w:val="20"/>
                <w:color w:val="auto"/>
              </w:rPr>
            </w:pPr>
            <w:r>
              <w:rPr>
                <w:rFonts w:ascii="Verdana" w:cs="Verdana" w:eastAsia="Verdana" w:hAnsi="Verdana"/>
                <w:sz w:val="16"/>
                <w:szCs w:val="16"/>
                <w:color w:val="auto"/>
              </w:rPr>
              <w:t>Hedged Volume (MMDth/d)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Verdana" w:cs="Verdana" w:eastAsia="Verdana" w:hAnsi="Verdana"/>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0.8</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b w:val="1"/>
                <w:bCs w:val="1"/>
                <w:color w:val="auto"/>
              </w:rPr>
              <w:t>Swaps – Short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Volume (MMDth)</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45</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Avg. Price ($/Dth)</w:t>
            </w:r>
          </w:p>
        </w:tc>
        <w:tc>
          <w:tcPr>
            <w:tcW w:w="16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140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300" w:type="dxa"/>
            <w:vAlign w:val="bottom"/>
            <w:gridSpan w:val="2"/>
          </w:tcPr>
          <w:p>
            <w:pPr>
              <w:jc w:val="right"/>
              <w:ind w:right="160"/>
              <w:spacing w:after="0"/>
              <w:rPr>
                <w:sz w:val="20"/>
                <w:szCs w:val="20"/>
                <w:color w:val="auto"/>
              </w:rPr>
            </w:pPr>
            <w:r>
              <w:rPr>
                <w:rFonts w:ascii="Verdana" w:cs="Verdana" w:eastAsia="Verdana" w:hAnsi="Verdana"/>
                <w:sz w:val="16"/>
                <w:szCs w:val="16"/>
                <w:color w:val="auto"/>
              </w:rPr>
              <w:t>—</w:t>
            </w:r>
          </w:p>
        </w:tc>
        <w:tc>
          <w:tcPr>
            <w:tcW w:w="240" w:type="dxa"/>
            <w:vAlign w:val="bottom"/>
          </w:tcPr>
          <w:p>
            <w:pPr>
              <w:jc w:val="right"/>
              <w:ind w:right="1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3.13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3.14</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3.16</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b w:val="1"/>
                <w:bCs w:val="1"/>
                <w:color w:val="auto"/>
              </w:rPr>
              <w:t>Calls – Short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Volume (MMDth)</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Verdana" w:cs="Verdana" w:eastAsia="Verdana" w:hAnsi="Verdana"/>
                <w:sz w:val="16"/>
                <w:szCs w:val="16"/>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25</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Avg. Strike ($/Dth)</w:t>
            </w:r>
          </w:p>
        </w:tc>
        <w:tc>
          <w:tcPr>
            <w:tcW w:w="16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5.13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5.77</w:t>
            </w:r>
          </w:p>
        </w:tc>
        <w:tc>
          <w:tcPr>
            <w:tcW w:w="8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4.51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4.51</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4.51</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b w:val="1"/>
                <w:bCs w:val="1"/>
                <w:color w:val="auto"/>
              </w:rPr>
              <w:t>Puts – Long</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Volume (MMDth)</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Verdana" w:cs="Verdana" w:eastAsia="Verdana" w:hAnsi="Verdana"/>
                <w:sz w:val="16"/>
                <w:szCs w:val="16"/>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25</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Avg. Strike ($/Dth)</w:t>
            </w:r>
          </w:p>
        </w:tc>
        <w:tc>
          <w:tcPr>
            <w:tcW w:w="16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1300" w:type="dxa"/>
            <w:vAlign w:val="bottom"/>
          </w:tcPr>
          <w:p>
            <w:pPr>
              <w:jc w:val="right"/>
              <w:spacing w:after="0"/>
              <w:rPr>
                <w:sz w:val="20"/>
                <w:szCs w:val="20"/>
                <w:color w:val="auto"/>
              </w:rPr>
            </w:pPr>
            <w:r>
              <w:rPr>
                <w:rFonts w:ascii="Verdana" w:cs="Verdana" w:eastAsia="Verdana" w:hAnsi="Verdana"/>
                <w:sz w:val="16"/>
                <w:szCs w:val="16"/>
                <w:color w:val="auto"/>
              </w:rPr>
              <w:t>3.72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3.65</w:t>
            </w:r>
          </w:p>
        </w:tc>
        <w:tc>
          <w:tcPr>
            <w:tcW w:w="8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3.00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3.00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3.00</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b w:val="1"/>
                <w:bCs w:val="1"/>
                <w:color w:val="auto"/>
              </w:rPr>
              <w:t>Puts – Short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Volume (MMDth)</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25</w:t>
            </w:r>
          </w:p>
        </w:tc>
      </w:tr>
      <w:tr>
        <w:trPr>
          <w:trHeight w:val="216"/>
        </w:trPr>
        <w:tc>
          <w:tcPr>
            <w:tcW w:w="3520" w:type="dxa"/>
            <w:vAlign w:val="bottom"/>
          </w:tcPr>
          <w:p>
            <w:pPr>
              <w:spacing w:after="0"/>
              <w:rPr>
                <w:sz w:val="20"/>
                <w:szCs w:val="20"/>
                <w:color w:val="auto"/>
              </w:rPr>
            </w:pPr>
            <w:r>
              <w:rPr>
                <w:rFonts w:ascii="Verdana" w:cs="Verdana" w:eastAsia="Verdana" w:hAnsi="Verdana"/>
                <w:sz w:val="16"/>
                <w:szCs w:val="16"/>
                <w:color w:val="auto"/>
              </w:rPr>
              <w:t>Avg. Strike ($/Dth)</w:t>
            </w:r>
          </w:p>
        </w:tc>
        <w:tc>
          <w:tcPr>
            <w:tcW w:w="16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140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2.50</w:t>
            </w:r>
          </w:p>
        </w:tc>
        <w:tc>
          <w:tcPr>
            <w:tcW w:w="8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2.50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2.50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2.50</w:t>
            </w:r>
          </w:p>
        </w:tc>
      </w:tr>
    </w:tbl>
    <w:p>
      <w:pPr>
        <w:spacing w:after="0" w:line="334" w:lineRule="exact"/>
        <w:rPr>
          <w:sz w:val="20"/>
          <w:szCs w:val="20"/>
          <w:color w:val="auto"/>
        </w:rPr>
      </w:pPr>
    </w:p>
    <w:p>
      <w:pPr>
        <w:ind w:left="340"/>
        <w:spacing w:after="0"/>
        <w:rPr>
          <w:sz w:val="20"/>
          <w:szCs w:val="20"/>
          <w:color w:val="auto"/>
        </w:rPr>
      </w:pPr>
      <w:r>
        <w:rPr>
          <w:rFonts w:ascii="Verdana" w:cs="Verdana" w:eastAsia="Verdana" w:hAnsi="Verdana"/>
          <w:sz w:val="14"/>
          <w:szCs w:val="14"/>
          <w:color w:val="auto"/>
        </w:rPr>
        <w:t>(a) October 1 through December 31.</w:t>
      </w:r>
    </w:p>
    <w:p>
      <w:pPr>
        <w:spacing w:after="0" w:line="230" w:lineRule="exact"/>
        <w:rPr>
          <w:sz w:val="20"/>
          <w:szCs w:val="20"/>
          <w:color w:val="auto"/>
        </w:rPr>
      </w:pPr>
    </w:p>
    <w:p>
      <w:pPr>
        <w:jc w:val="both"/>
        <w:spacing w:after="0" w:line="270" w:lineRule="auto"/>
        <w:rPr>
          <w:sz w:val="20"/>
          <w:szCs w:val="20"/>
          <w:color w:val="auto"/>
        </w:rPr>
      </w:pPr>
      <w:r>
        <w:rPr>
          <w:rFonts w:ascii="Verdana" w:cs="Verdana" w:eastAsia="Verdana" w:hAnsi="Verdana"/>
          <w:sz w:val="16"/>
          <w:szCs w:val="16"/>
          <w:color w:val="auto"/>
        </w:rPr>
        <w:t>The Company also entered into derivative instruments to hedge basis. The Company may use other contractual agreements to implement its commodity hedging strategy from time to time.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Non-GAAP Disclosures</w:t>
      </w:r>
    </w:p>
    <w:p>
      <w:pPr>
        <w:spacing w:after="0"/>
        <w:rPr>
          <w:sz w:val="20"/>
          <w:szCs w:val="20"/>
          <w:color w:val="auto"/>
        </w:rPr>
      </w:pPr>
      <w:r>
        <w:rPr>
          <w:rFonts w:ascii="Verdana" w:cs="Verdana" w:eastAsia="Verdana" w:hAnsi="Verdana"/>
          <w:sz w:val="16"/>
          <w:szCs w:val="16"/>
          <w:color w:val="auto"/>
        </w:rPr>
        <w:t>This news release includes the non-GAAP financial measures described below. These non-GAAP measures are defined and reconciled to</w:t>
      </w:r>
    </w:p>
    <w:p>
      <w:pPr>
        <w:spacing w:after="0" w:line="8"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the most directly comparable GAAP measure. These non-GAAP measures are intended to provide additional information only and should not be considered as alternatives to, or more meaningful than, net income attributable to EQT Corporation, diluted EPS, net income, net cash provided by operating activities, total Upstream operating revenues, total debt or any other measure calculated in accordance with</w:t>
      </w:r>
    </w:p>
    <w:p>
      <w:pPr>
        <w:spacing w:after="0" w:line="2"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GAAP. Certain items excluded from these non-GAAP measures are significant components in understanding and assessing a company’s financial performance, such as a company’s cost of capital, tax structure and historic costs of depreciable assets.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w:t>
      </w:r>
    </w:p>
    <w:p>
      <w:pPr>
        <w:sectPr>
          <w:pgSz w:w="11900" w:h="16838" w:orient="portrait"/>
          <w:cols w:equalWidth="0" w:num="1">
            <w:col w:w="11240"/>
          </w:cols>
          <w:pgMar w:left="320" w:top="1418"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Adjusted Net Income Attributable to EQT and Adjusted EPS</w:t>
      </w:r>
    </w:p>
    <w:p>
      <w:pPr>
        <w:jc w:val="both"/>
        <w:spacing w:after="0" w:line="241" w:lineRule="auto"/>
        <w:rPr>
          <w:sz w:val="20"/>
          <w:szCs w:val="20"/>
          <w:color w:val="auto"/>
        </w:rPr>
      </w:pPr>
      <w:r>
        <w:rPr>
          <w:rFonts w:ascii="Verdana" w:cs="Verdana" w:eastAsia="Verdana" w:hAnsi="Verdana"/>
          <w:sz w:val="16"/>
          <w:szCs w:val="16"/>
          <w:color w:val="auto"/>
        </w:rPr>
        <w:t>Adjusted net income attributable to EQT is defined as net income attributable to EQT Corporation, excluding (gain) loss on sale/exchange of long-lived assets, impairments, the revenue impact of changes in the fair value of derivative instruments prior to</w:t>
      </w:r>
    </w:p>
    <w:p>
      <w:pPr>
        <w:spacing w:after="0" w:line="234" w:lineRule="auto"/>
        <w:rPr>
          <w:sz w:val="20"/>
          <w:szCs w:val="20"/>
          <w:color w:val="auto"/>
        </w:rPr>
      </w:pPr>
      <w:r>
        <w:rPr>
          <w:rFonts w:ascii="Verdana" w:cs="Verdana" w:eastAsia="Verdana" w:hAnsi="Verdana"/>
          <w:sz w:val="16"/>
          <w:szCs w:val="16"/>
          <w:color w:val="auto"/>
        </w:rPr>
        <w:t>settlement and certain other items that the Company's management believes do not reflect the Company's core operating performance.</w:t>
      </w:r>
    </w:p>
    <w:p>
      <w:pPr>
        <w:spacing w:after="0"/>
        <w:rPr>
          <w:sz w:val="20"/>
          <w:szCs w:val="20"/>
          <w:color w:val="auto"/>
        </w:rPr>
      </w:pPr>
      <w:r>
        <w:rPr>
          <w:rFonts w:ascii="Verdana" w:cs="Verdana" w:eastAsia="Verdana" w:hAnsi="Verdana"/>
          <w:sz w:val="16"/>
          <w:szCs w:val="16"/>
          <w:color w:val="auto"/>
        </w:rPr>
        <w:t>Adjusted EPS is defined as adjusted net income attributable to EQT divided by diluted weighted average common shares outstanding.</w:t>
      </w:r>
    </w:p>
    <w:p>
      <w:pPr>
        <w:spacing w:after="0" w:line="25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The Company's management believes that adjusted net income attributable to EQT and adjusted EPS provide useful information to investors regarding the Company’s financial condition and results of operations because it helps facilitate comparisons of operating performance and earnings trends across periods by excluding the impact of items that, in their opinion, do not reflect the Company’s</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core operating performance. For example, adjusted net income attributable to EQT and adjusted EPS reflect only the impact of settled derivative contracts; thus, the measures exclude the often-volatile revenue impact of changes in the fair value of derivative instruments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prior to settlement.</w:t>
      </w:r>
    </w:p>
    <w:p>
      <w:pPr>
        <w:spacing w:after="0" w:line="23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table below reconciles adjusted net income attributable to EQT and adjusted EPS with net income attributable to EQT Corporation and diluted EPS, respectively, the most comparable financial measures calculated in accordance with GAAP, each as derived from the</w:t>
      </w:r>
    </w:p>
    <w:p>
      <w:pPr>
        <w:spacing w:after="0" w:line="1"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Statements of Condensed Consolidated Operations to be included in EQT Corporation's Quarterly Report on Form 10-Q for the quarter ended September 30, 2026.</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Verdana" w:cs="Verdana" w:eastAsia="Verdana" w:hAnsi="Verdana"/>
                <w:sz w:val="16"/>
                <w:szCs w:val="16"/>
                <w:b w:val="1"/>
                <w:bCs w:val="1"/>
                <w:color w:val="auto"/>
              </w:rPr>
              <w:t>Three Months Ended</w:t>
            </w:r>
          </w:p>
        </w:tc>
        <w:tc>
          <w:tcPr>
            <w:tcW w:w="340" w:type="dxa"/>
            <w:vAlign w:val="bottom"/>
          </w:tcPr>
          <w:p>
            <w:pPr>
              <w:spacing w:after="0"/>
              <w:rPr>
                <w:sz w:val="16"/>
                <w:szCs w:val="16"/>
                <w:color w:val="auto"/>
              </w:rPr>
            </w:pPr>
          </w:p>
        </w:tc>
        <w:tc>
          <w:tcPr>
            <w:tcW w:w="2920" w:type="dxa"/>
            <w:vAlign w:val="bottom"/>
            <w:gridSpan w:val="4"/>
          </w:tcPr>
          <w:p>
            <w:pPr>
              <w:jc w:val="right"/>
              <w:ind w:right="699"/>
              <w:spacing w:after="0"/>
              <w:rPr>
                <w:sz w:val="20"/>
                <w:szCs w:val="20"/>
                <w:color w:val="auto"/>
              </w:rPr>
            </w:pPr>
            <w:r>
              <w:rPr>
                <w:rFonts w:ascii="Verdana" w:cs="Verdana" w:eastAsia="Verdana" w:hAnsi="Verdana"/>
                <w:sz w:val="16"/>
                <w:szCs w:val="16"/>
                <w:b w:val="1"/>
                <w:bCs w:val="1"/>
                <w:color w:val="auto"/>
              </w:rPr>
              <w:t>Nine Months Ended</w:t>
            </w:r>
          </w:p>
        </w:tc>
      </w:tr>
      <w:tr>
        <w:trPr>
          <w:trHeight w:val="213"/>
        </w:trPr>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Verdana" w:cs="Verdana" w:eastAsia="Verdana" w:hAnsi="Verdana"/>
                <w:sz w:val="16"/>
                <w:szCs w:val="16"/>
                <w:b w:val="1"/>
                <w:bCs w:val="1"/>
                <w:color w:val="auto"/>
              </w:rPr>
              <w:t>September 30,</w:t>
            </w:r>
          </w:p>
        </w:tc>
        <w:tc>
          <w:tcPr>
            <w:tcW w:w="340" w:type="dxa"/>
            <w:vAlign w:val="bottom"/>
          </w:tcPr>
          <w:p>
            <w:pPr>
              <w:spacing w:after="0"/>
              <w:rPr>
                <w:sz w:val="18"/>
                <w:szCs w:val="18"/>
                <w:color w:val="auto"/>
              </w:rPr>
            </w:pPr>
          </w:p>
        </w:tc>
        <w:tc>
          <w:tcPr>
            <w:tcW w:w="2920" w:type="dxa"/>
            <w:vAlign w:val="bottom"/>
            <w:gridSpan w:val="4"/>
          </w:tcPr>
          <w:p>
            <w:pPr>
              <w:jc w:val="right"/>
              <w:ind w:right="859"/>
              <w:spacing w:after="0"/>
              <w:rPr>
                <w:sz w:val="20"/>
                <w:szCs w:val="20"/>
                <w:color w:val="auto"/>
              </w:rPr>
            </w:pPr>
            <w:r>
              <w:rPr>
                <w:rFonts w:ascii="Verdana" w:cs="Verdana" w:eastAsia="Verdana" w:hAnsi="Verdana"/>
                <w:sz w:val="16"/>
                <w:szCs w:val="16"/>
                <w:b w:val="1"/>
                <w:bCs w:val="1"/>
                <w:color w:val="auto"/>
              </w:rPr>
              <w:t>September 30,</w:t>
            </w:r>
          </w:p>
        </w:tc>
      </w:tr>
      <w:tr>
        <w:trPr>
          <w:trHeight w:val="210"/>
        </w:trPr>
        <w:tc>
          <w:tcPr>
            <w:tcW w:w="46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r>
      <w:tr>
        <w:trPr>
          <w:trHeight w:val="247"/>
        </w:trPr>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0" w:type="dxa"/>
            <w:vAlign w:val="bottom"/>
            <w:gridSpan w:val="9"/>
          </w:tcPr>
          <w:p>
            <w:pPr>
              <w:jc w:val="right"/>
              <w:ind w:right="139"/>
              <w:spacing w:after="0"/>
              <w:rPr>
                <w:sz w:val="20"/>
                <w:szCs w:val="20"/>
                <w:color w:val="auto"/>
              </w:rPr>
            </w:pPr>
            <w:r>
              <w:rPr>
                <w:rFonts w:ascii="Verdana" w:cs="Verdana" w:eastAsia="Verdana" w:hAnsi="Verdana"/>
                <w:sz w:val="16"/>
                <w:szCs w:val="16"/>
                <w:b w:val="1"/>
                <w:bCs w:val="1"/>
                <w:color w:val="auto"/>
              </w:rPr>
              <w:t>(Thousands, except per share amounts)</w:t>
            </w:r>
          </w:p>
        </w:tc>
        <w:tc>
          <w:tcPr>
            <w:tcW w:w="1240" w:type="dxa"/>
            <w:vAlign w:val="bottom"/>
          </w:tcPr>
          <w:p>
            <w:pPr>
              <w:spacing w:after="0"/>
              <w:rPr>
                <w:sz w:val="21"/>
                <w:szCs w:val="21"/>
                <w:color w:val="auto"/>
              </w:rPr>
            </w:pP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Net income attributable to EQT Corporation</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278,691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335,862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1,977,345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1,362,148</w:t>
            </w: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(Deduct) add: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(Gain) loss on sale/exchange of long-lived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(5,623)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(2,402)</w:t>
            </w: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Impairment and expiration of leases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3,476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16,062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9,391</w:t>
            </w: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(Gain) loss on derivatives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(100,287)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(135,784)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93,342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(176,829)</w:t>
            </w: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Net cash settlements received (paid) on derivatives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70,521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74,960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(160,527)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(118,390)</w:t>
            </w: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Other expenses (a)</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28,962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10,422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182,693</w:t>
            </w: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Loss on debt extinguishment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29,887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19,478</w:t>
            </w:r>
          </w:p>
        </w:tc>
      </w:tr>
      <w:tr>
        <w:trPr>
          <w:trHeight w:val="219"/>
        </w:trPr>
        <w:tc>
          <w:tcPr>
            <w:tcW w:w="4640" w:type="dxa"/>
            <w:vAlign w:val="bottom"/>
          </w:tcPr>
          <w:p>
            <w:pPr>
              <w:ind w:left="120"/>
              <w:spacing w:after="0"/>
              <w:rPr>
                <w:sz w:val="20"/>
                <w:szCs w:val="20"/>
                <w:color w:val="auto"/>
              </w:rPr>
            </w:pPr>
            <w:r>
              <w:rPr>
                <w:rFonts w:ascii="Verdana" w:cs="Verdana" w:eastAsia="Verdana" w:hAnsi="Verdana"/>
                <w:sz w:val="16"/>
                <w:szCs w:val="16"/>
                <w:color w:val="auto"/>
              </w:rPr>
              <w:t>Tax impact of non-GAAP items (b)</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5,557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24,818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2,570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38,774</w:t>
            </w:r>
          </w:p>
        </w:tc>
      </w:tr>
      <w:tr>
        <w:trPr>
          <w:trHeight w:val="213"/>
        </w:trPr>
        <w:tc>
          <w:tcPr>
            <w:tcW w:w="4640" w:type="dxa"/>
            <w:vAlign w:val="bottom"/>
          </w:tcPr>
          <w:p>
            <w:pPr>
              <w:ind w:left="120"/>
              <w:spacing w:after="0"/>
              <w:rPr>
                <w:sz w:val="20"/>
                <w:szCs w:val="20"/>
                <w:color w:val="auto"/>
              </w:rPr>
            </w:pPr>
            <w:r>
              <w:rPr>
                <w:rFonts w:ascii="Verdana" w:cs="Verdana" w:eastAsia="Verdana" w:hAnsi="Verdana"/>
                <w:sz w:val="16"/>
                <w:szCs w:val="16"/>
                <w:color w:val="auto"/>
              </w:rPr>
              <w:t>Adjusted net income attributable to EQT</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261,416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328,580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1,969,760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1,314,863</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33"/>
        </w:trPr>
        <w:tc>
          <w:tcPr>
            <w:tcW w:w="4640" w:type="dxa"/>
            <w:vAlign w:val="bottom"/>
          </w:tcPr>
          <w:p>
            <w:pPr>
              <w:ind w:left="20"/>
              <w:spacing w:after="0"/>
              <w:rPr>
                <w:sz w:val="20"/>
                <w:szCs w:val="20"/>
                <w:color w:val="auto"/>
              </w:rPr>
            </w:pPr>
            <w:r>
              <w:rPr>
                <w:rFonts w:ascii="Verdana" w:cs="Verdana" w:eastAsia="Verdana" w:hAnsi="Verdana"/>
                <w:sz w:val="16"/>
                <w:szCs w:val="16"/>
                <w:color w:val="auto"/>
              </w:rPr>
              <w:t>Diluted weighted average common shares outstanding</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629,172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628,324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628,992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611,427</w:t>
            </w:r>
          </w:p>
        </w:tc>
      </w:tr>
      <w:tr>
        <w:trPr>
          <w:trHeight w:val="216"/>
        </w:trPr>
        <w:tc>
          <w:tcPr>
            <w:tcW w:w="4640" w:type="dxa"/>
            <w:vAlign w:val="bottom"/>
          </w:tcPr>
          <w:p>
            <w:pPr>
              <w:ind w:left="20"/>
              <w:spacing w:after="0"/>
              <w:rPr>
                <w:sz w:val="20"/>
                <w:szCs w:val="20"/>
                <w:color w:val="auto"/>
              </w:rPr>
            </w:pPr>
            <w:r>
              <w:rPr>
                <w:rFonts w:ascii="Verdana" w:cs="Verdana" w:eastAsia="Verdana" w:hAnsi="Verdana"/>
                <w:sz w:val="16"/>
                <w:szCs w:val="16"/>
                <w:color w:val="auto"/>
              </w:rPr>
              <w:t>Diluted EPS</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0.44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0.53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3.14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2.23</w:t>
            </w:r>
          </w:p>
        </w:tc>
      </w:tr>
      <w:tr>
        <w:trPr>
          <w:trHeight w:val="216"/>
        </w:trPr>
        <w:tc>
          <w:tcPr>
            <w:tcW w:w="4640" w:type="dxa"/>
            <w:vAlign w:val="bottom"/>
          </w:tcPr>
          <w:p>
            <w:pPr>
              <w:ind w:left="20"/>
              <w:spacing w:after="0"/>
              <w:rPr>
                <w:sz w:val="20"/>
                <w:szCs w:val="20"/>
                <w:color w:val="auto"/>
              </w:rPr>
            </w:pPr>
            <w:r>
              <w:rPr>
                <w:rFonts w:ascii="Verdana" w:cs="Verdana" w:eastAsia="Verdana" w:hAnsi="Verdana"/>
                <w:sz w:val="16"/>
                <w:szCs w:val="16"/>
                <w:color w:val="auto"/>
              </w:rPr>
              <w:t>Adjusted EPS</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0.42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0.52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3.13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2.15</w:t>
            </w:r>
          </w:p>
        </w:tc>
      </w:tr>
    </w:tbl>
    <w:p>
      <w:pPr>
        <w:spacing w:after="0" w:line="334" w:lineRule="exact"/>
        <w:rPr>
          <w:sz w:val="20"/>
          <w:szCs w:val="20"/>
          <w:color w:val="auto"/>
        </w:rPr>
      </w:pPr>
    </w:p>
    <w:p>
      <w:pPr>
        <w:jc w:val="both"/>
        <w:ind w:left="660" w:hanging="328"/>
        <w:spacing w:after="0" w:line="244" w:lineRule="auto"/>
        <w:tabs>
          <w:tab w:leader="none" w:pos="647"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Consists primarily of transaction costs associated with acquisitions and other strategic transactions as well as costs related to exploring new venture opportunities. Other expenses for the three and nine months ended September 30, 2025 included the impact of $21.0 million and $24.5 million, respectively, of cash transaction costs related to the Company's acquisition of Olympus Energy (the Olympus Energy Acquisition), and, for the nine months ended September 30, 2025 included the impact of $133.7 million of net expense related to a securities class action settlement.</w:t>
      </w:r>
    </w:p>
    <w:p>
      <w:pPr>
        <w:spacing w:after="0" w:line="172" w:lineRule="exact"/>
        <w:rPr>
          <w:rFonts w:ascii="Verdana" w:cs="Verdana" w:eastAsia="Verdana" w:hAnsi="Verdana"/>
          <w:sz w:val="14"/>
          <w:szCs w:val="14"/>
          <w:color w:val="auto"/>
        </w:rPr>
      </w:pPr>
    </w:p>
    <w:p>
      <w:pPr>
        <w:jc w:val="both"/>
        <w:ind w:left="660" w:hanging="328"/>
        <w:spacing w:after="0" w:line="248" w:lineRule="auto"/>
        <w:tabs>
          <w:tab w:leader="none" w:pos="651"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tax impact of non-GAAP items represents the incremental tax expense/benefit that would have been incurred by the Company had these items been excluded from net income attributable to EQT Corporation. This approach resulted in a blended tax rate of 24.3% and 24.7% for the three months ended September 30, 2026 and 2025, respectively, and 25.3% and 25.1% for the nine months ended September 30, 2026 and 2025, respectively. The blended tax rates differ from the Company's statutory tax rate due primarily to state taxes, including valuation allowances limiting certain state tax benefits.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w:t>
      </w:r>
    </w:p>
    <w:p>
      <w:pPr>
        <w:sectPr>
          <w:pgSz w:w="11900" w:h="16838" w:orient="portrait"/>
          <w:cols w:equalWidth="0" w:num="1">
            <w:col w:w="11240"/>
          </w:cols>
          <w:pgMar w:left="320" w:top="1418" w:right="339" w:bottom="1440" w:gutter="0" w:footer="0" w:header="0"/>
        </w:sectPr>
      </w:pPr>
    </w:p>
    <w:bookmarkStart w:id="9" w:name="page10"/>
    <w:bookmarkEnd w:id="9"/>
    <w:p>
      <w:pPr>
        <w:ind w:right="40"/>
        <w:spacing w:after="0" w:line="232" w:lineRule="auto"/>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Adjusted EBITDA, Adjusted EBITDA Attributable to Noncontrolling Interests and Adjusted EBITDA Attributable to EQT</w:t>
      </w:r>
    </w:p>
    <w:p>
      <w:pPr>
        <w:jc w:val="both"/>
        <w:ind w:right="20"/>
        <w:spacing w:after="0" w:line="241" w:lineRule="auto"/>
        <w:rPr>
          <w:sz w:val="20"/>
          <w:szCs w:val="20"/>
          <w:color w:val="auto"/>
        </w:rPr>
      </w:pPr>
      <w:r>
        <w:rPr>
          <w:rFonts w:ascii="Verdana" w:cs="Verdana" w:eastAsia="Verdana" w:hAnsi="Verdana"/>
          <w:sz w:val="16"/>
          <w:szCs w:val="16"/>
          <w:color w:val="auto"/>
        </w:rPr>
        <w:t>Adjusted EBITDA is defined as net income excluding net interest expense, income tax expense, depreciation, depletion and amortization, (gain) loss on sale/exchange of long-lived assets, impairments, the revenue impact of changes in the fair value of derivative instruments</w:t>
      </w:r>
    </w:p>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prior to settlement and certain other items that the Company's management believes do not reflect the Company's core operating performance. Adjusted EBITDA attributable to EQT is defined as adjusted EBITDA less adjusted EBITDA attributable to noncontrolling</w:t>
      </w:r>
    </w:p>
    <w:p>
      <w:pPr>
        <w:spacing w:after="0" w:line="1"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interests. Adjusted EBITDA attributable to noncontrolling interests is defined as the proportionate share of adjusted EBITDA attributable to the third-party ownership interests in the Non-Wholly Owned Consolidated Subsidiaries (defined below).</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The Company's management believes that these measures provide useful information to investors regarding the Company’s financial</w:t>
      </w:r>
    </w:p>
    <w:p>
      <w:pPr>
        <w:spacing w:after="0" w:line="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condition and results of operations because they help facilitate comparisons of operating performance and earnings trends across periods by excluding the impact of items that, in their opinion, do not reflect the Company’s core operating performance. For example, adjusted</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EBITDA reflects only the impact of settled derivative instruments and excludes the often-volatile revenue impact of changes in the fair value of derivative instruments prior to settlement. In addition, adjusted EBITDA includes the impact of distributions received from equity method investments, which excludes the impact of depreciation included within equity earnings from equity method investments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and helps facilitate comparisons of the core operating performance of the Company's equity method investments.</w:t>
      </w:r>
    </w:p>
    <w:p>
      <w:pPr>
        <w:spacing w:after="0" w:line="23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table below reconciles adjusted EBITDA and adjusted EBITDA attributable to EQT with net income, the most comparable financial measure as calculated in accordance with GAAP, as reported in the Statements of Condensed Consolidated Operations to be included in</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EQT Corporation's Quarterly Report on Form 10-Q for the quarter ended September 30, 2026.</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Verdana" w:cs="Verdana" w:eastAsia="Verdana" w:hAnsi="Verdana"/>
                <w:sz w:val="16"/>
                <w:szCs w:val="16"/>
                <w:b w:val="1"/>
                <w:bCs w:val="1"/>
                <w:color w:val="auto"/>
              </w:rPr>
              <w:t>Three Months Ended</w:t>
            </w:r>
          </w:p>
        </w:tc>
        <w:tc>
          <w:tcPr>
            <w:tcW w:w="540" w:type="dxa"/>
            <w:vAlign w:val="bottom"/>
          </w:tcPr>
          <w:p>
            <w:pPr>
              <w:spacing w:after="0"/>
              <w:rPr>
                <w:sz w:val="16"/>
                <w:szCs w:val="16"/>
                <w:color w:val="auto"/>
              </w:rPr>
            </w:pPr>
          </w:p>
        </w:tc>
        <w:tc>
          <w:tcPr>
            <w:tcW w:w="2700" w:type="dxa"/>
            <w:vAlign w:val="bottom"/>
            <w:gridSpan w:val="4"/>
          </w:tcPr>
          <w:p>
            <w:pPr>
              <w:jc w:val="right"/>
              <w:ind w:right="699"/>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Verdana" w:cs="Verdana" w:eastAsia="Verdana" w:hAnsi="Verdana"/>
                <w:sz w:val="16"/>
                <w:szCs w:val="16"/>
                <w:b w:val="1"/>
                <w:bCs w:val="1"/>
                <w:color w:val="auto"/>
              </w:rPr>
              <w:t>September 30,</w:t>
            </w:r>
          </w:p>
        </w:tc>
        <w:tc>
          <w:tcPr>
            <w:tcW w:w="540" w:type="dxa"/>
            <w:vAlign w:val="bottom"/>
          </w:tcPr>
          <w:p>
            <w:pPr>
              <w:spacing w:after="0"/>
              <w:rPr>
                <w:sz w:val="18"/>
                <w:szCs w:val="18"/>
                <w:color w:val="auto"/>
              </w:rPr>
            </w:pPr>
          </w:p>
        </w:tc>
        <w:tc>
          <w:tcPr>
            <w:tcW w:w="2700" w:type="dxa"/>
            <w:vAlign w:val="bottom"/>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w w:val="96"/>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Verdana" w:cs="Verdana" w:eastAsia="Verdana" w:hAnsi="Verdana"/>
                <w:sz w:val="16"/>
                <w:szCs w:val="16"/>
                <w:b w:val="1"/>
                <w:bCs w:val="1"/>
                <w:color w:val="auto"/>
              </w:rPr>
              <w:t>(Thousands)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Net income</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345,077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407,216</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2,180,455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1,579,290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Add (deduct):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Interest expense, net</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72,152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109,929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244,381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333,166</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Income tax expense</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86,682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129,266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604,967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443,549</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Depreciation, depletion and amortization</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639,783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688,382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1,984,167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1,932,628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(Gain) loss on sale/exchange of long-lived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(5,623)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(2,402)</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Impairment and expiration of leases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3,476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16,062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9,391</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(Gain) loss on derivatives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(100,287)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(135,784)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93,342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(176,829)</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Net cash settlements received (paid) on derivatives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70,521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74,960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(160,527)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(118,390)</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Other expenses (a)</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28,962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10,422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182,693</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Income from investments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(43,688)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(44,638)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(165,929)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(138,274)</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Distributions from equity method investments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65,760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69,679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187,083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202,560</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Loss on debt extinguishment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1,909</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29,887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19,478</w:t>
            </w:r>
          </w:p>
        </w:tc>
        <w:tc>
          <w:tcPr>
            <w:tcW w:w="0" w:type="dxa"/>
            <w:vAlign w:val="bottom"/>
          </w:tcPr>
          <w:p>
            <w:pPr>
              <w:spacing w:after="0"/>
              <w:rPr>
                <w:sz w:val="1"/>
                <w:szCs w:val="1"/>
                <w:color w:val="auto"/>
              </w:rPr>
            </w:pPr>
          </w:p>
        </w:tc>
      </w:tr>
      <w:tr>
        <w:trPr>
          <w:trHeight w:val="210"/>
        </w:trPr>
        <w:tc>
          <w:tcPr>
            <w:tcW w:w="4660" w:type="dxa"/>
            <w:vAlign w:val="bottom"/>
          </w:tcPr>
          <w:p>
            <w:pPr>
              <w:ind w:left="220"/>
              <w:spacing w:after="0"/>
              <w:rPr>
                <w:sz w:val="20"/>
                <w:szCs w:val="20"/>
                <w:color w:val="auto"/>
              </w:rPr>
            </w:pPr>
            <w:r>
              <w:rPr>
                <w:rFonts w:ascii="Verdana" w:cs="Verdana" w:eastAsia="Verdana" w:hAnsi="Verdana"/>
                <w:sz w:val="16"/>
                <w:szCs w:val="16"/>
                <w:color w:val="auto"/>
              </w:rPr>
              <w:t>Adjusted EBITDA</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1,142,934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1,327,734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Verdana" w:cs="Verdana" w:eastAsia="Verdana" w:hAnsi="Verdana"/>
                <w:sz w:val="16"/>
                <w:szCs w:val="16"/>
                <w:color w:val="auto"/>
              </w:rPr>
              <w:t>5,024,969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4,266,860</w:t>
            </w:r>
          </w:p>
        </w:tc>
        <w:tc>
          <w:tcPr>
            <w:tcW w:w="0" w:type="dxa"/>
            <w:vAlign w:val="bottom"/>
          </w:tcPr>
          <w:p>
            <w:pPr>
              <w:spacing w:after="0"/>
              <w:rPr>
                <w:sz w:val="1"/>
                <w:szCs w:val="1"/>
                <w:color w:val="auto"/>
              </w:rPr>
            </w:pPr>
          </w:p>
        </w:tc>
      </w:tr>
      <w:tr>
        <w:trPr>
          <w:trHeight w:val="167"/>
        </w:trPr>
        <w:tc>
          <w:tcPr>
            <w:tcW w:w="4660" w:type="dxa"/>
            <w:vAlign w:val="bottom"/>
          </w:tcPr>
          <w:p>
            <w:pPr>
              <w:ind w:left="120"/>
              <w:spacing w:after="0" w:line="167" w:lineRule="exact"/>
              <w:rPr>
                <w:sz w:val="20"/>
                <w:szCs w:val="20"/>
                <w:color w:val="auto"/>
              </w:rPr>
            </w:pPr>
            <w:r>
              <w:rPr>
                <w:rFonts w:ascii="Verdana" w:cs="Verdana" w:eastAsia="Verdana" w:hAnsi="Verdana"/>
                <w:sz w:val="16"/>
                <w:szCs w:val="16"/>
                <w:color w:val="auto"/>
              </w:rPr>
              <w:t>Deduct: Adjusted EBITDA attributable to</w:t>
            </w: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(121,851)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(128,230)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(389,892)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Verdana" w:cs="Verdana" w:eastAsia="Verdana" w:hAnsi="Verdana"/>
                <w:sz w:val="16"/>
                <w:szCs w:val="16"/>
                <w:color w:val="auto"/>
              </w:rPr>
              <w:t>(390,194)</w:t>
            </w:r>
          </w:p>
        </w:tc>
        <w:tc>
          <w:tcPr>
            <w:tcW w:w="0" w:type="dxa"/>
            <w:vAlign w:val="bottom"/>
          </w:tcPr>
          <w:p>
            <w:pPr>
              <w:spacing w:after="0"/>
              <w:rPr>
                <w:sz w:val="1"/>
                <w:szCs w:val="1"/>
                <w:color w:val="auto"/>
              </w:rPr>
            </w:pPr>
          </w:p>
        </w:tc>
      </w:tr>
      <w:tr>
        <w:trPr>
          <w:trHeight w:val="213"/>
        </w:trPr>
        <w:tc>
          <w:tcPr>
            <w:tcW w:w="4660" w:type="dxa"/>
            <w:vAlign w:val="bottom"/>
          </w:tcPr>
          <w:p>
            <w:pPr>
              <w:ind w:left="120"/>
              <w:spacing w:after="0"/>
              <w:rPr>
                <w:sz w:val="20"/>
                <w:szCs w:val="20"/>
                <w:color w:val="auto"/>
              </w:rPr>
            </w:pPr>
            <w:r>
              <w:rPr>
                <w:rFonts w:ascii="Verdana" w:cs="Verdana" w:eastAsia="Verdana" w:hAnsi="Verdana"/>
                <w:sz w:val="16"/>
                <w:szCs w:val="16"/>
                <w:color w:val="auto"/>
              </w:rPr>
              <w:t>noncontrolling interests (b)</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340"/>
              <w:spacing w:after="0"/>
              <w:rPr>
                <w:sz w:val="20"/>
                <w:szCs w:val="20"/>
                <w:color w:val="auto"/>
              </w:rPr>
            </w:pPr>
            <w:r>
              <w:rPr>
                <w:rFonts w:ascii="Verdana" w:cs="Verdana" w:eastAsia="Verdana" w:hAnsi="Verdana"/>
                <w:sz w:val="16"/>
                <w:szCs w:val="16"/>
                <w:color w:val="auto"/>
              </w:rPr>
              <w:t>Adjusted EBITDA attributable to EQT</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1,021,083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1,199,504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4,635,077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3,876,666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hanging="328"/>
        <w:spacing w:after="0" w:line="248" w:lineRule="auto"/>
        <w:tabs>
          <w:tab w:leader="none" w:pos="647" w:val="left"/>
        </w:tabs>
        <w:numPr>
          <w:ilvl w:val="0"/>
          <w:numId w:val="11"/>
        </w:numPr>
        <w:rPr>
          <w:rFonts w:ascii="Verdana" w:cs="Verdana" w:eastAsia="Verdana" w:hAnsi="Verdana"/>
          <w:sz w:val="14"/>
          <w:szCs w:val="14"/>
          <w:color w:val="auto"/>
        </w:rPr>
      </w:pPr>
      <w:r>
        <w:rPr>
          <w:rFonts w:ascii="Verdana" w:cs="Verdana" w:eastAsia="Verdana" w:hAnsi="Verdana"/>
          <w:sz w:val="14"/>
          <w:szCs w:val="14"/>
          <w:color w:val="auto"/>
        </w:rPr>
        <w:t>Consists primarily of transaction costs associated with acquisitions and other strategic transactions as well as costs related to exploring new venture opportunities. Other expenses for the three and nine months ended September 30, 2025 included the impact of $21.0 million and $24.5 million, respectively, of cash transaction costs related to the Olympus Energy Acquisition, and, for the nine months ended September 30, 2025 included the impact of $133.7 million of net expense related to a securities class action settlement.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w:t>
      </w:r>
    </w:p>
    <w:p>
      <w:pPr>
        <w:sectPr>
          <w:pgSz w:w="11900" w:h="16838" w:orient="portrait"/>
          <w:cols w:equalWidth="0" w:num="1">
            <w:col w:w="11240"/>
          </w:cols>
          <w:pgMar w:left="320" w:top="1430" w:right="339" w:bottom="1440" w:gutter="0" w:footer="0" w:header="0"/>
        </w:sectPr>
      </w:pPr>
    </w:p>
    <w:bookmarkStart w:id="10" w:name="page11"/>
    <w:bookmarkEnd w:id="10"/>
    <w:p>
      <w:pPr>
        <w:ind w:left="660" w:hanging="328"/>
        <w:spacing w:after="0" w:line="270" w:lineRule="auto"/>
        <w:tabs>
          <w:tab w:leader="none" w:pos="651" w:val="left"/>
        </w:tabs>
        <w:numPr>
          <w:ilvl w:val="0"/>
          <w:numId w:val="12"/>
        </w:numPr>
        <w:rPr>
          <w:rFonts w:ascii="Verdana" w:cs="Verdana" w:eastAsia="Verdana" w:hAnsi="Verdana"/>
          <w:sz w:val="14"/>
          <w:szCs w:val="14"/>
          <w:color w:val="auto"/>
        </w:rPr>
      </w:pPr>
      <w:r>
        <w:rPr>
          <w:rFonts w:ascii="Verdana" w:cs="Verdana" w:eastAsia="Verdana" w:hAnsi="Verdana"/>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A non-GAAP financial measure. See below for a reconciliation of this non-GAAP financial measure to the most comparable financial measure as calculated in accordance with GAAP.</w:t>
      </w:r>
    </w:p>
    <w:p>
      <w:pPr>
        <w:spacing w:after="0" w:line="206"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The Company consolidates its controlling equity interests in the Midstream JV and Eureka Midstream Holdings, LLC (Eureka Holdings and, together with the Midstream JV, the Non-Wholly Owned Consolidated Subsidiaries). The table below reconciles adjusted EBITDA of the Non-Wholly Owned Consolidated Subsidiaries and adjusted EBITDA attributable to noncontrolling interests with net income of the</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Non-Wholly Owned Consolidated Subsidiaries, the most comparable financial measure as calculated in accordance with GAAP. The Company's management believes that adjusted EBITDA attributable to noncontrolling interests provides useful information to investors</w:t>
      </w:r>
    </w:p>
    <w:p>
      <w:pPr>
        <w:spacing w:after="0" w:line="1" w:lineRule="exact"/>
        <w:rPr>
          <w:sz w:val="20"/>
          <w:szCs w:val="20"/>
          <w:color w:val="auto"/>
        </w:rPr>
      </w:pPr>
    </w:p>
    <w:p>
      <w:pPr>
        <w:jc w:val="both"/>
        <w:ind w:right="20"/>
        <w:spacing w:after="0" w:line="253" w:lineRule="auto"/>
        <w:rPr>
          <w:sz w:val="20"/>
          <w:szCs w:val="20"/>
          <w:color w:val="auto"/>
        </w:rPr>
      </w:pPr>
      <w:r>
        <w:rPr>
          <w:rFonts w:ascii="Verdana" w:cs="Verdana" w:eastAsia="Verdana" w:hAnsi="Verdana"/>
          <w:sz w:val="16"/>
          <w:szCs w:val="16"/>
          <w:color w:val="auto"/>
        </w:rPr>
        <w:t>regarding the impact of the third-party ownership interest in the Non-Wholly Owned Consolidated Subsidiaries on the Company's financial condition and results of operations.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Verdana" w:cs="Verdana" w:eastAsia="Verdana" w:hAnsi="Verdana"/>
                <w:sz w:val="16"/>
                <w:szCs w:val="16"/>
                <w:b w:val="1"/>
                <w:bCs w:val="1"/>
                <w:color w:val="auto"/>
              </w:rPr>
              <w:t>Three Months Ended</w:t>
            </w:r>
          </w:p>
        </w:tc>
        <w:tc>
          <w:tcPr>
            <w:tcW w:w="540" w:type="dxa"/>
            <w:vAlign w:val="bottom"/>
          </w:tcPr>
          <w:p>
            <w:pPr>
              <w:spacing w:after="0"/>
              <w:rPr>
                <w:sz w:val="16"/>
                <w:szCs w:val="16"/>
                <w:color w:val="auto"/>
              </w:rPr>
            </w:pPr>
          </w:p>
        </w:tc>
        <w:tc>
          <w:tcPr>
            <w:tcW w:w="2680" w:type="dxa"/>
            <w:vAlign w:val="bottom"/>
            <w:gridSpan w:val="4"/>
          </w:tcPr>
          <w:p>
            <w:pPr>
              <w:ind w:left="160"/>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640"/>
              <w:spacing w:after="0"/>
              <w:rPr>
                <w:sz w:val="20"/>
                <w:szCs w:val="20"/>
                <w:color w:val="auto"/>
              </w:rPr>
            </w:pPr>
            <w:r>
              <w:rPr>
                <w:rFonts w:ascii="Verdana" w:cs="Verdana" w:eastAsia="Verdana" w:hAnsi="Verdana"/>
                <w:sz w:val="16"/>
                <w:szCs w:val="16"/>
                <w:b w:val="1"/>
                <w:bCs w:val="1"/>
                <w:color w:val="auto"/>
              </w:rPr>
              <w:t>September 30,</w:t>
            </w:r>
          </w:p>
        </w:tc>
        <w:tc>
          <w:tcPr>
            <w:tcW w:w="540" w:type="dxa"/>
            <w:vAlign w:val="bottom"/>
          </w:tcPr>
          <w:p>
            <w:pPr>
              <w:spacing w:after="0"/>
              <w:rPr>
                <w:sz w:val="18"/>
                <w:szCs w:val="18"/>
                <w:color w:val="auto"/>
              </w:rPr>
            </w:pPr>
          </w:p>
        </w:tc>
        <w:tc>
          <w:tcPr>
            <w:tcW w:w="2680" w:type="dxa"/>
            <w:vAlign w:val="bottom"/>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Verdana" w:cs="Verdana" w:eastAsia="Verdana" w:hAnsi="Verdana"/>
                <w:sz w:val="16"/>
                <w:szCs w:val="16"/>
                <w:b w:val="1"/>
                <w:bCs w:val="1"/>
                <w:color w:val="auto"/>
              </w:rPr>
              <w:t>(Thousands)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Verdana" w:cs="Verdana" w:eastAsia="Verdana" w:hAnsi="Verdana"/>
                <w:sz w:val="16"/>
                <w:szCs w:val="16"/>
                <w:b w:val="1"/>
                <w:bCs w:val="1"/>
                <w:color w:val="auto"/>
              </w:rPr>
              <w:t>Non-Wholly Owned Consolidated Subsidiaries: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Verdana" w:cs="Verdana" w:eastAsia="Verdana" w:hAnsi="Verdana"/>
                <w:sz w:val="16"/>
                <w:szCs w:val="16"/>
                <w:color w:val="auto"/>
              </w:rPr>
              <w:t>Net income</w:t>
            </w:r>
          </w:p>
        </w:tc>
        <w:tc>
          <w:tcPr>
            <w:tcW w:w="320" w:type="dxa"/>
            <w:vAlign w:val="bottom"/>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146,630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158,088</w:t>
            </w:r>
          </w:p>
        </w:tc>
        <w:tc>
          <w:tcPr>
            <w:tcW w:w="8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Pr>
          <w:p>
            <w:pPr>
              <w:jc w:val="right"/>
              <w:spacing w:after="0"/>
              <w:rPr>
                <w:sz w:val="20"/>
                <w:szCs w:val="20"/>
                <w:color w:val="auto"/>
              </w:rPr>
            </w:pPr>
            <w:r>
              <w:rPr>
                <w:rFonts w:ascii="Verdana" w:cs="Verdana" w:eastAsia="Verdana" w:hAnsi="Verdana"/>
                <w:sz w:val="16"/>
                <w:szCs w:val="16"/>
                <w:color w:val="auto"/>
              </w:rPr>
              <w:t>516,420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500,966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Verdana" w:cs="Verdana" w:eastAsia="Verdana" w:hAnsi="Verdana"/>
                <w:sz w:val="16"/>
                <w:szCs w:val="16"/>
                <w:color w:val="auto"/>
              </w:rPr>
              <w:t>Add (deduct):</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Interest expense, net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3,742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10,356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11,014</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Depreciation and amortization</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34,420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34,879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99,495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96,723</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Loss on sale/exchange of long-lived assets</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724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349</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Income from investments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(41,824)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(42,078)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Verdana" w:cs="Verdana" w:eastAsia="Verdana" w:hAnsi="Verdana"/>
                <w:sz w:val="16"/>
                <w:szCs w:val="16"/>
                <w:color w:val="auto"/>
              </w:rPr>
              <w:t>(139,810)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(125,652)</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Distributions from equity method investments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64,984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66,579</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179,171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191,090</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Verdana" w:cs="Verdana" w:eastAsia="Verdana" w:hAnsi="Verdana"/>
                <w:sz w:val="16"/>
                <w:szCs w:val="16"/>
                <w:color w:val="auto"/>
              </w:rPr>
              <w:t>Adjusted EBITDA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207,785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221,210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666,356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674,490</w:t>
            </w:r>
          </w:p>
        </w:tc>
        <w:tc>
          <w:tcPr>
            <w:tcW w:w="0" w:type="dxa"/>
            <w:vAlign w:val="bottom"/>
          </w:tcPr>
          <w:p>
            <w:pPr>
              <w:spacing w:after="0"/>
              <w:rPr>
                <w:sz w:val="1"/>
                <w:szCs w:val="1"/>
                <w:color w:val="auto"/>
              </w:rPr>
            </w:pPr>
          </w:p>
        </w:tc>
      </w:tr>
      <w:tr>
        <w:trPr>
          <w:trHeight w:val="167"/>
        </w:trPr>
        <w:tc>
          <w:tcPr>
            <w:tcW w:w="4720" w:type="dxa"/>
            <w:vAlign w:val="bottom"/>
          </w:tcPr>
          <w:p>
            <w:pPr>
              <w:spacing w:after="0" w:line="167" w:lineRule="exact"/>
              <w:rPr>
                <w:sz w:val="20"/>
                <w:szCs w:val="20"/>
                <w:color w:val="auto"/>
              </w:rPr>
            </w:pPr>
            <w:r>
              <w:rPr>
                <w:rFonts w:ascii="Verdana" w:cs="Verdana" w:eastAsia="Verdana" w:hAnsi="Verdana"/>
                <w:sz w:val="16"/>
                <w:szCs w:val="16"/>
                <w:color w:val="auto"/>
              </w:rPr>
              <w:t>Deduct: Adjusted EBITDA of the Non-Wholly Owned</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(85,934)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(92,980)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Verdana" w:cs="Verdana" w:eastAsia="Verdana" w:hAnsi="Verdana"/>
                <w:sz w:val="16"/>
                <w:szCs w:val="16"/>
                <w:color w:val="auto"/>
              </w:rPr>
              <w:t>(276,464)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(284,296)</w:t>
            </w: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Verdana" w:cs="Verdana" w:eastAsia="Verdana" w:hAnsi="Verdana"/>
                <w:sz w:val="16"/>
                <w:szCs w:val="16"/>
                <w:color w:val="auto"/>
              </w:rPr>
              <w:t>Consolidated Subsidiaries attributable to EQT (a)</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720" w:type="dxa"/>
            <w:vAlign w:val="bottom"/>
          </w:tcPr>
          <w:p>
            <w:pPr>
              <w:ind w:left="340"/>
              <w:spacing w:after="0" w:line="147" w:lineRule="exact"/>
              <w:rPr>
                <w:sz w:val="20"/>
                <w:szCs w:val="20"/>
                <w:color w:val="auto"/>
              </w:rPr>
            </w:pPr>
            <w:r>
              <w:rPr>
                <w:rFonts w:ascii="Verdana" w:cs="Verdana" w:eastAsia="Verdana" w:hAnsi="Verdana"/>
                <w:sz w:val="16"/>
                <w:szCs w:val="16"/>
                <w:color w:val="auto"/>
              </w:rPr>
              <w:t>Adjusted EBITDA attributable to noncontrolling</w:t>
            </w:r>
          </w:p>
        </w:tc>
        <w:tc>
          <w:tcPr>
            <w:tcW w:w="320" w:type="dxa"/>
            <w:vAlign w:val="bottom"/>
            <w:vMerge w:val="restart"/>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121,851</w:t>
            </w:r>
          </w:p>
        </w:tc>
        <w:tc>
          <w:tcPr>
            <w:tcW w:w="10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vMerge w:val="restart"/>
          </w:tcPr>
          <w:p>
            <w:pPr>
              <w:jc w:val="right"/>
              <w:ind w:right="19"/>
              <w:spacing w:after="0"/>
              <w:rPr>
                <w:sz w:val="20"/>
                <w:szCs w:val="20"/>
                <w:color w:val="auto"/>
              </w:rPr>
            </w:pPr>
            <w:r>
              <w:rPr>
                <w:rFonts w:ascii="Verdana" w:cs="Verdana" w:eastAsia="Verdana" w:hAnsi="Verdana"/>
                <w:sz w:val="16"/>
                <w:szCs w:val="16"/>
                <w:color w:val="auto"/>
              </w:rPr>
              <w:t>128,230</w:t>
            </w:r>
          </w:p>
        </w:tc>
        <w:tc>
          <w:tcPr>
            <w:tcW w:w="80" w:type="dxa"/>
            <w:vAlign w:val="bottom"/>
          </w:tcPr>
          <w:p>
            <w:pPr>
              <w:spacing w:after="0"/>
              <w:rPr>
                <w:sz w:val="12"/>
                <w:szCs w:val="12"/>
                <w:color w:val="auto"/>
              </w:rPr>
            </w:pPr>
          </w:p>
        </w:tc>
        <w:tc>
          <w:tcPr>
            <w:tcW w:w="540" w:type="dxa"/>
            <w:vAlign w:val="bottom"/>
            <w:vMerge w:val="restart"/>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389,892</w:t>
            </w:r>
          </w:p>
        </w:tc>
        <w:tc>
          <w:tcPr>
            <w:tcW w:w="10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390,194</w:t>
            </w:r>
          </w:p>
        </w:tc>
        <w:tc>
          <w:tcPr>
            <w:tcW w:w="0" w:type="dxa"/>
            <w:vAlign w:val="bottom"/>
          </w:tcPr>
          <w:p>
            <w:pPr>
              <w:spacing w:after="0"/>
              <w:rPr>
                <w:sz w:val="1"/>
                <w:szCs w:val="1"/>
                <w:color w:val="auto"/>
              </w:rPr>
            </w:pPr>
          </w:p>
        </w:tc>
      </w:tr>
      <w:tr>
        <w:trPr>
          <w:trHeight w:val="194"/>
        </w:trPr>
        <w:tc>
          <w:tcPr>
            <w:tcW w:w="4720" w:type="dxa"/>
            <w:vAlign w:val="bottom"/>
          </w:tcPr>
          <w:p>
            <w:pPr>
              <w:ind w:left="340"/>
              <w:spacing w:after="0" w:line="189" w:lineRule="exact"/>
              <w:rPr>
                <w:sz w:val="20"/>
                <w:szCs w:val="20"/>
                <w:color w:val="auto"/>
              </w:rPr>
            </w:pPr>
            <w:r>
              <w:rPr>
                <w:rFonts w:ascii="Verdana" w:cs="Verdana" w:eastAsia="Verdana" w:hAnsi="Verdana"/>
                <w:sz w:val="16"/>
                <w:szCs w:val="16"/>
                <w:color w:val="auto"/>
              </w:rPr>
              <w:t>interests</w:t>
            </w:r>
          </w:p>
        </w:tc>
        <w:tc>
          <w:tcPr>
            <w:tcW w:w="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hanging="328"/>
        <w:spacing w:after="0" w:line="249" w:lineRule="auto"/>
        <w:tabs>
          <w:tab w:leader="none" w:pos="647" w:val="left"/>
        </w:tabs>
        <w:numPr>
          <w:ilvl w:val="0"/>
          <w:numId w:val="13"/>
        </w:numPr>
        <w:rPr>
          <w:rFonts w:ascii="Verdana" w:cs="Verdana" w:eastAsia="Verdana" w:hAnsi="Verdana"/>
          <w:sz w:val="14"/>
          <w:szCs w:val="14"/>
          <w:color w:val="auto"/>
        </w:rPr>
      </w:pPr>
      <w:r>
        <w:rPr>
          <w:rFonts w:ascii="Verdana" w:cs="Verdana" w:eastAsia="Verdana" w:hAnsi="Verdana"/>
          <w:sz w:val="14"/>
          <w:szCs w:val="14"/>
          <w:color w:val="auto"/>
        </w:rPr>
        <w:t>Adjusted EBITDA of the Non-Wholly Owned Consolidated Subsidiaries attributable to EQT is calculated based on EQT Corporation's current 40% Class A Unitholder share of available cash flow distributions from the Midstream JV and 60% ownership interest in Eureka Holdings. The Company believes that using its distribution share from the Midstream JV in the calculation of adjusted EBITDA of the Non-Wholly Owned Consolidated Subsidiaries attributable to EQT best reflects the economic impact of the Company's investment in the Midstream JV on adjusted EBITDA and earnings trends.</w:t>
      </w:r>
    </w:p>
    <w:p>
      <w:pPr>
        <w:spacing w:after="0" w:line="200" w:lineRule="exact"/>
        <w:rPr>
          <w:sz w:val="20"/>
          <w:szCs w:val="20"/>
          <w:color w:val="auto"/>
        </w:rPr>
      </w:pPr>
    </w:p>
    <w:p>
      <w:pPr>
        <w:spacing w:after="0" w:line="205" w:lineRule="exact"/>
        <w:rPr>
          <w:sz w:val="20"/>
          <w:szCs w:val="20"/>
          <w:color w:val="auto"/>
        </w:rPr>
      </w:pPr>
    </w:p>
    <w:p>
      <w:pPr>
        <w:ind w:right="400"/>
        <w:spacing w:after="0" w:line="232" w:lineRule="auto"/>
        <w:rPr>
          <w:sz w:val="20"/>
          <w:szCs w:val="20"/>
          <w:color w:val="auto"/>
        </w:rPr>
      </w:pPr>
      <w:r>
        <w:rPr>
          <w:rFonts w:ascii="Verdana" w:cs="Verdana" w:eastAsia="Verdana" w:hAnsi="Verdana"/>
          <w:sz w:val="18"/>
          <w:szCs w:val="18"/>
          <w:b w:val="1"/>
          <w:bCs w:val="1"/>
          <w:color w:val="auto"/>
        </w:rPr>
        <w:t>Adjusted Operating Cash Flow, Adjusted Operating Cash Flow Attributable to EQT, Free Cash Flow and Free Cash Flow Attributable to EQT</w:t>
      </w:r>
    </w:p>
    <w:p>
      <w:pPr>
        <w:jc w:val="both"/>
        <w:ind w:right="20"/>
        <w:spacing w:after="0" w:line="241" w:lineRule="auto"/>
        <w:rPr>
          <w:sz w:val="20"/>
          <w:szCs w:val="20"/>
          <w:color w:val="auto"/>
        </w:rPr>
      </w:pPr>
      <w:r>
        <w:rPr>
          <w:rFonts w:ascii="Verdana" w:cs="Verdana" w:eastAsia="Verdana" w:hAnsi="Verdana"/>
          <w:sz w:val="16"/>
          <w:szCs w:val="16"/>
          <w:color w:val="auto"/>
        </w:rPr>
        <w:t>Adjusted operating cash flow is defined as net cash provided by operating activities less changes in other assets and liabilities. Adjusted operating cash flow attributable to EQT is defined as adjusted operating cash flow less adjusted EBITDA attributable to noncontrolling</w:t>
      </w:r>
    </w:p>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interests excluding net interest expense attributable to noncontrolling interests. Free cash flow is defined as adjusted operating cash flow less accrual-based capital expenditures and capital contributions to equity method investments. Free cash flow attributable to EQT is</w:t>
      </w:r>
    </w:p>
    <w:p>
      <w:pPr>
        <w:spacing w:after="0" w:line="1" w:lineRule="exact"/>
        <w:rPr>
          <w:sz w:val="20"/>
          <w:szCs w:val="20"/>
          <w:color w:val="auto"/>
        </w:rPr>
      </w:pPr>
    </w:p>
    <w:p>
      <w:pPr>
        <w:jc w:val="both"/>
        <w:spacing w:after="0" w:line="243" w:lineRule="auto"/>
        <w:rPr>
          <w:sz w:val="20"/>
          <w:szCs w:val="20"/>
          <w:color w:val="auto"/>
        </w:rPr>
      </w:pPr>
      <w:r>
        <w:rPr>
          <w:rFonts w:ascii="Verdana" w:cs="Verdana" w:eastAsia="Verdana" w:hAnsi="Verdana"/>
          <w:sz w:val="16"/>
          <w:szCs w:val="16"/>
          <w:color w:val="auto"/>
        </w:rPr>
        <w:t>defined as adjusted operating cash flow attributable to EQT less accrual-based capital expenditures and capital contributions to equity method investments excluding the proportionate share of accrual-based capital expenditures and capital contributions to equity method investments attributable to the third-party ownership interests in the Non-Wholly Owned Consolidated Subsidiaries.</w:t>
      </w:r>
    </w:p>
    <w:p>
      <w:pPr>
        <w:spacing w:after="0" w:line="233" w:lineRule="exact"/>
        <w:rPr>
          <w:sz w:val="20"/>
          <w:szCs w:val="20"/>
          <w:color w:val="auto"/>
        </w:rPr>
      </w:pPr>
    </w:p>
    <w:p>
      <w:pPr>
        <w:jc w:val="both"/>
        <w:ind w:right="20"/>
        <w:spacing w:after="0" w:line="253" w:lineRule="auto"/>
        <w:rPr>
          <w:sz w:val="20"/>
          <w:szCs w:val="20"/>
          <w:color w:val="auto"/>
        </w:rPr>
      </w:pPr>
      <w:r>
        <w:rPr>
          <w:rFonts w:ascii="Verdana" w:cs="Verdana" w:eastAsia="Verdana" w:hAnsi="Verdana"/>
          <w:sz w:val="16"/>
          <w:szCs w:val="16"/>
          <w:color w:val="auto"/>
        </w:rPr>
        <w:t>The Company's management believes that these measures provide useful information to investors regarding the Company's liquidity, including the Company's ability to generate cash flow in excess of its capital requirements and return cash to shareholders.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w:t>
      </w:r>
    </w:p>
    <w:p>
      <w:pPr>
        <w:sectPr>
          <w:pgSz w:w="11900" w:h="16838" w:orient="portrait"/>
          <w:cols w:equalWidth="0" w:num="1">
            <w:col w:w="11240"/>
          </w:cols>
          <w:pgMar w:left="320" w:top="1426" w:right="339" w:bottom="1440" w:gutter="0" w:footer="0" w:header="0"/>
        </w:sectPr>
      </w:pPr>
    </w:p>
    <w:bookmarkStart w:id="11" w:name="page12"/>
    <w:bookmarkEnd w:id="11"/>
    <w:p>
      <w:pPr>
        <w:spacing w:after="0" w:line="241" w:lineRule="auto"/>
        <w:rPr>
          <w:sz w:val="20"/>
          <w:szCs w:val="20"/>
          <w:color w:val="auto"/>
        </w:rPr>
      </w:pPr>
      <w:r>
        <w:rPr>
          <w:rFonts w:ascii="Verdana" w:cs="Verdana" w:eastAsia="Verdana" w:hAnsi="Verdana"/>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The tables below reconcile adjusted operating cash flow, adjusted operating cash flow attributable to EQT, free cash flow and free cash flow attributable to EQT with net cash provided by operating activities, the most comparable financial measure calculated in accordance</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with GAAP, as derived from the Statements of Condensed Consolidated Cash Flows to be included in EQT Corporation's Quarterly Report on Form 10-Q for the quarter ended September 30, 2026.</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300"/>
              <w:spacing w:after="0"/>
              <w:rPr>
                <w:sz w:val="20"/>
                <w:szCs w:val="20"/>
                <w:color w:val="auto"/>
              </w:rPr>
            </w:pPr>
            <w:r>
              <w:rPr>
                <w:rFonts w:ascii="Verdana" w:cs="Verdana" w:eastAsia="Verdana" w:hAnsi="Verdana"/>
                <w:sz w:val="16"/>
                <w:szCs w:val="16"/>
                <w:b w:val="1"/>
                <w:bCs w:val="1"/>
                <w:color w:val="auto"/>
              </w:rPr>
              <w:t>Three Months Ended</w:t>
            </w:r>
          </w:p>
        </w:tc>
        <w:tc>
          <w:tcPr>
            <w:tcW w:w="540" w:type="dxa"/>
            <w:vAlign w:val="bottom"/>
          </w:tcPr>
          <w:p>
            <w:pPr>
              <w:spacing w:after="0"/>
              <w:rPr>
                <w:sz w:val="16"/>
                <w:szCs w:val="16"/>
                <w:color w:val="auto"/>
              </w:rPr>
            </w:pPr>
          </w:p>
        </w:tc>
        <w:tc>
          <w:tcPr>
            <w:tcW w:w="2680" w:type="dxa"/>
            <w:vAlign w:val="bottom"/>
            <w:gridSpan w:val="4"/>
          </w:tcPr>
          <w:p>
            <w:pPr>
              <w:jc w:val="right"/>
              <w:ind w:right="679"/>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620"/>
              <w:spacing w:after="0"/>
              <w:rPr>
                <w:sz w:val="20"/>
                <w:szCs w:val="20"/>
                <w:color w:val="auto"/>
              </w:rPr>
            </w:pPr>
            <w:r>
              <w:rPr>
                <w:rFonts w:ascii="Verdana" w:cs="Verdana" w:eastAsia="Verdana" w:hAnsi="Verdana"/>
                <w:sz w:val="16"/>
                <w:szCs w:val="16"/>
                <w:b w:val="1"/>
                <w:bCs w:val="1"/>
                <w:color w:val="auto"/>
              </w:rPr>
              <w:t>September 30,</w:t>
            </w:r>
          </w:p>
        </w:tc>
        <w:tc>
          <w:tcPr>
            <w:tcW w:w="540" w:type="dxa"/>
            <w:vAlign w:val="bottom"/>
          </w:tcPr>
          <w:p>
            <w:pPr>
              <w:spacing w:after="0"/>
              <w:rPr>
                <w:sz w:val="18"/>
                <w:szCs w:val="18"/>
                <w:color w:val="auto"/>
              </w:rPr>
            </w:pPr>
          </w:p>
        </w:tc>
        <w:tc>
          <w:tcPr>
            <w:tcW w:w="2680" w:type="dxa"/>
            <w:vAlign w:val="bottom"/>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2025</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w w:val="96"/>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Verdana" w:cs="Verdana" w:eastAsia="Verdana" w:hAnsi="Verdana"/>
                <w:sz w:val="16"/>
                <w:szCs w:val="16"/>
                <w:b w:val="1"/>
                <w:bCs w:val="1"/>
                <w:color w:val="auto"/>
              </w:rPr>
              <w:t>(Thousands)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Verdana" w:cs="Verdana" w:eastAsia="Verdana" w:hAnsi="Verdana"/>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1,083,273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00" w:type="dxa"/>
            <w:vAlign w:val="bottom"/>
          </w:tcPr>
          <w:p>
            <w:pPr>
              <w:jc w:val="right"/>
              <w:spacing w:after="0"/>
              <w:rPr>
                <w:sz w:val="20"/>
                <w:szCs w:val="20"/>
                <w:color w:val="auto"/>
              </w:rPr>
            </w:pPr>
            <w:r>
              <w:rPr>
                <w:rFonts w:ascii="Verdana" w:cs="Verdana" w:eastAsia="Verdana" w:hAnsi="Verdana"/>
                <w:sz w:val="16"/>
                <w:szCs w:val="16"/>
                <w:color w:val="auto"/>
              </w:rPr>
              <w:t>1,017,699</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Pr>
          <w:p>
            <w:pPr>
              <w:jc w:val="right"/>
              <w:spacing w:after="0"/>
              <w:rPr>
                <w:sz w:val="20"/>
                <w:szCs w:val="20"/>
                <w:color w:val="auto"/>
              </w:rPr>
            </w:pPr>
            <w:r>
              <w:rPr>
                <w:rFonts w:ascii="Verdana" w:cs="Verdana" w:eastAsia="Verdana" w:hAnsi="Verdana"/>
                <w:sz w:val="16"/>
                <w:szCs w:val="16"/>
                <w:color w:val="auto"/>
              </w:rPr>
              <w:t>5,186,332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4,000,565</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line="168" w:lineRule="exact"/>
              <w:rPr>
                <w:sz w:val="20"/>
                <w:szCs w:val="20"/>
                <w:color w:val="auto"/>
              </w:rPr>
            </w:pPr>
            <w:r>
              <w:rPr>
                <w:rFonts w:ascii="Verdana" w:cs="Verdana" w:eastAsia="Verdana" w:hAnsi="Verdana"/>
                <w:sz w:val="16"/>
                <w:szCs w:val="16"/>
                <w:color w:val="auto"/>
              </w:rPr>
              <w:t>Decrease (increase) in changes in other assets and</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12,984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Verdana" w:cs="Verdana" w:eastAsia="Verdana" w:hAnsi="Verdana"/>
                <w:sz w:val="16"/>
                <w:szCs w:val="16"/>
                <w:color w:val="auto"/>
              </w:rPr>
              <w:t>203,441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(360,667)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(194,779)</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Verdana" w:cs="Verdana" w:eastAsia="Verdana" w:hAnsi="Verdana"/>
                <w:sz w:val="16"/>
                <w:szCs w:val="16"/>
                <w:color w:val="auto"/>
              </w:rPr>
              <w:t>liabilities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20"/>
              <w:spacing w:after="0"/>
              <w:rPr>
                <w:sz w:val="20"/>
                <w:szCs w:val="20"/>
                <w:color w:val="auto"/>
              </w:rPr>
            </w:pPr>
            <w:r>
              <w:rPr>
                <w:rFonts w:ascii="Verdana" w:cs="Verdana" w:eastAsia="Verdana" w:hAnsi="Verdana"/>
                <w:sz w:val="16"/>
                <w:szCs w:val="16"/>
                <w:color w:val="auto"/>
              </w:rPr>
              <w:t>Adjusted operating cash flow (a)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1,096,257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Verdana" w:cs="Verdana" w:eastAsia="Verdana" w:hAnsi="Verdana"/>
                <w:sz w:val="16"/>
                <w:szCs w:val="16"/>
                <w:color w:val="auto"/>
              </w:rPr>
              <w:t>1,221,140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4,825,665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3,805,786</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Verdana" w:cs="Verdana" w:eastAsia="Verdana" w:hAnsi="Verdana"/>
                <w:sz w:val="16"/>
                <w:szCs w:val="16"/>
                <w:color w:val="auto"/>
              </w:rPr>
              <w:t>Deduct:</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Capital expenditures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(637,764)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Verdana" w:cs="Verdana" w:eastAsia="Verdana" w:hAnsi="Verdana"/>
                <w:sz w:val="16"/>
                <w:szCs w:val="16"/>
                <w:color w:val="auto"/>
              </w:rPr>
              <w:t>(617,893)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(1,911,858)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(1,668,896)</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Verdana" w:cs="Verdana" w:eastAsia="Verdana" w:hAnsi="Verdana"/>
                <w:sz w:val="16"/>
                <w:szCs w:val="16"/>
                <w:color w:val="auto"/>
              </w:rPr>
              <w:t>Capital contributions to equity method investments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(60,918)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(2,359)</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(117,438)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(44,406)</w:t>
            </w:r>
          </w:p>
        </w:tc>
        <w:tc>
          <w:tcPr>
            <w:tcW w:w="0" w:type="dxa"/>
            <w:vAlign w:val="bottom"/>
          </w:tcPr>
          <w:p>
            <w:pPr>
              <w:spacing w:after="0"/>
              <w:rPr>
                <w:sz w:val="1"/>
                <w:szCs w:val="1"/>
                <w:color w:val="auto"/>
              </w:rPr>
            </w:pPr>
          </w:p>
        </w:tc>
      </w:tr>
      <w:tr>
        <w:trPr>
          <w:trHeight w:val="212"/>
        </w:trPr>
        <w:tc>
          <w:tcPr>
            <w:tcW w:w="4720" w:type="dxa"/>
            <w:vAlign w:val="bottom"/>
          </w:tcPr>
          <w:p>
            <w:pPr>
              <w:ind w:left="220"/>
              <w:spacing w:after="0"/>
              <w:rPr>
                <w:sz w:val="20"/>
                <w:szCs w:val="20"/>
                <w:color w:val="auto"/>
              </w:rPr>
            </w:pPr>
            <w:r>
              <w:rPr>
                <w:rFonts w:ascii="Verdana" w:cs="Verdana" w:eastAsia="Verdana" w:hAnsi="Verdana"/>
                <w:sz w:val="16"/>
                <w:szCs w:val="16"/>
                <w:color w:val="auto"/>
              </w:rPr>
              <w:t>Free cash flow (a)</w:t>
            </w:r>
          </w:p>
        </w:tc>
        <w:tc>
          <w:tcPr>
            <w:tcW w:w="320" w:type="dxa"/>
            <w:vAlign w:val="bottom"/>
            <w:tcBorders>
              <w:bottom w:val="single" w:sz="8" w:color="auto"/>
            </w:tcBorders>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397,575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600,888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2,796,369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2,092,484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660" w:hanging="328"/>
        <w:spacing w:after="0" w:line="259" w:lineRule="auto"/>
        <w:tabs>
          <w:tab w:leader="none" w:pos="647" w:val="left"/>
        </w:tabs>
        <w:numPr>
          <w:ilvl w:val="0"/>
          <w:numId w:val="14"/>
        </w:numPr>
        <w:rPr>
          <w:rFonts w:ascii="Verdana" w:cs="Verdana" w:eastAsia="Verdana" w:hAnsi="Verdana"/>
          <w:sz w:val="14"/>
          <w:szCs w:val="14"/>
          <w:color w:val="auto"/>
        </w:rPr>
      </w:pPr>
      <w:r>
        <w:rPr>
          <w:rFonts w:ascii="Verdana" w:cs="Verdana" w:eastAsia="Verdana" w:hAnsi="Verdana"/>
          <w:sz w:val="14"/>
          <w:szCs w:val="14"/>
          <w:color w:val="auto"/>
        </w:rPr>
        <w:t>Adjusted operating cash flow and free cash flow for the three and nine months ended September 30, 2025 included the impact of $21.0 million and $24.5 million, respectively, of cash transaction costs related to the Olympus Energy Acquisition, and, for the nine months ended September 30, 2025 included the impact of $133.7 million of net expense related to a securities class action settlement.</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Verdana" w:cs="Verdana" w:eastAsia="Verdana" w:hAnsi="Verdana"/>
                <w:sz w:val="16"/>
                <w:szCs w:val="16"/>
                <w:b w:val="1"/>
                <w:bCs w:val="1"/>
                <w:color w:val="auto"/>
              </w:rPr>
              <w:t>Three Months Ended</w:t>
            </w:r>
          </w:p>
        </w:tc>
        <w:tc>
          <w:tcPr>
            <w:tcW w:w="540" w:type="dxa"/>
            <w:vAlign w:val="bottom"/>
          </w:tcPr>
          <w:p>
            <w:pPr>
              <w:spacing w:after="0"/>
              <w:rPr>
                <w:sz w:val="16"/>
                <w:szCs w:val="16"/>
                <w:color w:val="auto"/>
              </w:rPr>
            </w:pPr>
          </w:p>
        </w:tc>
        <w:tc>
          <w:tcPr>
            <w:tcW w:w="2680" w:type="dxa"/>
            <w:vAlign w:val="bottom"/>
            <w:gridSpan w:val="4"/>
          </w:tcPr>
          <w:p>
            <w:pPr>
              <w:jc w:val="right"/>
              <w:ind w:right="679"/>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640"/>
              <w:spacing w:after="0"/>
              <w:rPr>
                <w:sz w:val="20"/>
                <w:szCs w:val="20"/>
                <w:color w:val="auto"/>
              </w:rPr>
            </w:pPr>
            <w:r>
              <w:rPr>
                <w:rFonts w:ascii="Verdana" w:cs="Verdana" w:eastAsia="Verdana" w:hAnsi="Verdana"/>
                <w:sz w:val="16"/>
                <w:szCs w:val="16"/>
                <w:b w:val="1"/>
                <w:bCs w:val="1"/>
                <w:color w:val="auto"/>
              </w:rPr>
              <w:t>September 30,</w:t>
            </w:r>
          </w:p>
        </w:tc>
        <w:tc>
          <w:tcPr>
            <w:tcW w:w="540" w:type="dxa"/>
            <w:vAlign w:val="bottom"/>
          </w:tcPr>
          <w:p>
            <w:pPr>
              <w:spacing w:after="0"/>
              <w:rPr>
                <w:sz w:val="18"/>
                <w:szCs w:val="18"/>
                <w:color w:val="auto"/>
              </w:rPr>
            </w:pPr>
          </w:p>
        </w:tc>
        <w:tc>
          <w:tcPr>
            <w:tcW w:w="2680" w:type="dxa"/>
            <w:vAlign w:val="bottom"/>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Verdana" w:cs="Verdana" w:eastAsia="Verdana" w:hAnsi="Verdana"/>
                <w:sz w:val="16"/>
                <w:szCs w:val="16"/>
                <w:b w:val="1"/>
                <w:bCs w:val="1"/>
                <w:color w:val="auto"/>
              </w:rPr>
              <w:t>(Thousands)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Verdana" w:cs="Verdana" w:eastAsia="Verdana" w:hAnsi="Verdana"/>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1,083,273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1,017,699</w:t>
            </w:r>
          </w:p>
        </w:tc>
        <w:tc>
          <w:tcPr>
            <w:tcW w:w="8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Pr>
          <w:p>
            <w:pPr>
              <w:jc w:val="right"/>
              <w:spacing w:after="0"/>
              <w:rPr>
                <w:sz w:val="20"/>
                <w:szCs w:val="20"/>
                <w:color w:val="auto"/>
              </w:rPr>
            </w:pPr>
            <w:r>
              <w:rPr>
                <w:rFonts w:ascii="Verdana" w:cs="Verdana" w:eastAsia="Verdana" w:hAnsi="Verdana"/>
                <w:sz w:val="16"/>
                <w:szCs w:val="16"/>
                <w:color w:val="auto"/>
              </w:rPr>
              <w:t>5,186,332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4,000,565</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line="168" w:lineRule="exact"/>
              <w:rPr>
                <w:sz w:val="20"/>
                <w:szCs w:val="20"/>
                <w:color w:val="auto"/>
              </w:rPr>
            </w:pPr>
            <w:r>
              <w:rPr>
                <w:rFonts w:ascii="Verdana" w:cs="Verdana" w:eastAsia="Verdana" w:hAnsi="Verdana"/>
                <w:sz w:val="16"/>
                <w:szCs w:val="16"/>
                <w:color w:val="auto"/>
              </w:rPr>
              <w:t>Decrease (increase) in changes in other assets and</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12,984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19"/>
              <w:spacing w:after="0"/>
              <w:rPr>
                <w:sz w:val="20"/>
                <w:szCs w:val="20"/>
                <w:color w:val="auto"/>
              </w:rPr>
            </w:pPr>
            <w:r>
              <w:rPr>
                <w:rFonts w:ascii="Verdana" w:cs="Verdana" w:eastAsia="Verdana" w:hAnsi="Verdana"/>
                <w:sz w:val="16"/>
                <w:szCs w:val="16"/>
                <w:color w:val="auto"/>
              </w:rPr>
              <w:t>203,441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(360,667)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(194,779)</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Verdana" w:cs="Verdana" w:eastAsia="Verdana" w:hAnsi="Verdana"/>
                <w:sz w:val="16"/>
                <w:szCs w:val="16"/>
                <w:color w:val="auto"/>
              </w:rPr>
              <w:t>liabilities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20"/>
              <w:spacing w:after="0"/>
              <w:rPr>
                <w:sz w:val="20"/>
                <w:szCs w:val="20"/>
                <w:color w:val="auto"/>
              </w:rPr>
            </w:pPr>
            <w:r>
              <w:rPr>
                <w:rFonts w:ascii="Verdana" w:cs="Verdana" w:eastAsia="Verdana" w:hAnsi="Verdana"/>
                <w:sz w:val="16"/>
                <w:szCs w:val="16"/>
                <w:color w:val="auto"/>
              </w:rPr>
              <w:t>Adjusted operating cash flow (a)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1,096,257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1,221,140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4,825,665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3,805,786</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Verdana" w:cs="Verdana" w:eastAsia="Verdana" w:hAnsi="Verdana"/>
                <w:sz w:val="16"/>
                <w:szCs w:val="16"/>
                <w:color w:val="auto"/>
              </w:rPr>
              <w:t>(Deduct) add:</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120"/>
              <w:spacing w:after="0" w:line="168" w:lineRule="exact"/>
              <w:rPr>
                <w:sz w:val="20"/>
                <w:szCs w:val="20"/>
                <w:color w:val="auto"/>
              </w:rPr>
            </w:pPr>
            <w:r>
              <w:rPr>
                <w:rFonts w:ascii="Verdana" w:cs="Verdana" w:eastAsia="Verdana" w:hAnsi="Verdana"/>
                <w:sz w:val="16"/>
                <w:szCs w:val="16"/>
                <w:color w:val="auto"/>
              </w:rPr>
              <w:t>Adjusted EBITDA attributable to noncontrolling</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(121,851)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(128,230)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(389,892)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(390,194)</w:t>
            </w:r>
          </w:p>
        </w:tc>
        <w:tc>
          <w:tcPr>
            <w:tcW w:w="0" w:type="dxa"/>
            <w:vAlign w:val="bottom"/>
          </w:tcPr>
          <w:p>
            <w:pPr>
              <w:spacing w:after="0"/>
              <w:rPr>
                <w:sz w:val="1"/>
                <w:szCs w:val="1"/>
                <w:color w:val="auto"/>
              </w:rPr>
            </w:pPr>
          </w:p>
        </w:tc>
      </w:tr>
      <w:tr>
        <w:trPr>
          <w:trHeight w:val="211"/>
        </w:trPr>
        <w:tc>
          <w:tcPr>
            <w:tcW w:w="4720" w:type="dxa"/>
            <w:vAlign w:val="bottom"/>
          </w:tcPr>
          <w:p>
            <w:pPr>
              <w:ind w:left="120"/>
              <w:spacing w:after="0"/>
              <w:rPr>
                <w:sz w:val="20"/>
                <w:szCs w:val="20"/>
                <w:color w:val="auto"/>
              </w:rPr>
            </w:pPr>
            <w:r>
              <w:rPr>
                <w:rFonts w:ascii="Verdana" w:cs="Verdana" w:eastAsia="Verdana" w:hAnsi="Verdana"/>
                <w:sz w:val="16"/>
                <w:szCs w:val="16"/>
                <w:color w:val="auto"/>
              </w:rPr>
              <w:t>interests (b)</w:t>
            </w: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720" w:type="dxa"/>
            <w:vAlign w:val="bottom"/>
          </w:tcPr>
          <w:p>
            <w:pPr>
              <w:ind w:left="120"/>
              <w:spacing w:after="0" w:line="167" w:lineRule="exact"/>
              <w:rPr>
                <w:sz w:val="20"/>
                <w:szCs w:val="20"/>
                <w:color w:val="auto"/>
              </w:rPr>
            </w:pPr>
            <w:r>
              <w:rPr>
                <w:rFonts w:ascii="Verdana" w:cs="Verdana" w:eastAsia="Verdana" w:hAnsi="Verdana"/>
                <w:sz w:val="16"/>
                <w:szCs w:val="16"/>
                <w:color w:val="auto"/>
              </w:rPr>
              <w:t>Net interest expense and other attributable to</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19"/>
              <w:spacing w:after="0"/>
              <w:rPr>
                <w:sz w:val="20"/>
                <w:szCs w:val="20"/>
                <w:color w:val="auto"/>
              </w:rPr>
            </w:pPr>
            <w:r>
              <w:rPr>
                <w:rFonts w:ascii="Verdana" w:cs="Verdana" w:eastAsia="Verdana" w:hAnsi="Verdana"/>
                <w:sz w:val="16"/>
                <w:szCs w:val="16"/>
                <w:color w:val="auto"/>
              </w:rPr>
              <w:t>1,190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2,557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3,470</w:t>
            </w:r>
          </w:p>
        </w:tc>
        <w:tc>
          <w:tcPr>
            <w:tcW w:w="0" w:type="dxa"/>
            <w:vAlign w:val="bottom"/>
          </w:tcPr>
          <w:p>
            <w:pPr>
              <w:spacing w:after="0"/>
              <w:rPr>
                <w:sz w:val="1"/>
                <w:szCs w:val="1"/>
                <w:color w:val="auto"/>
              </w:rPr>
            </w:pPr>
          </w:p>
        </w:tc>
      </w:tr>
      <w:tr>
        <w:trPr>
          <w:trHeight w:val="211"/>
        </w:trPr>
        <w:tc>
          <w:tcPr>
            <w:tcW w:w="4720" w:type="dxa"/>
            <w:vAlign w:val="bottom"/>
          </w:tcPr>
          <w:p>
            <w:pPr>
              <w:ind w:left="120"/>
              <w:spacing w:after="0"/>
              <w:rPr>
                <w:sz w:val="20"/>
                <w:szCs w:val="20"/>
                <w:color w:val="auto"/>
              </w:rPr>
            </w:pPr>
            <w:r>
              <w:rPr>
                <w:rFonts w:ascii="Verdana" w:cs="Verdana" w:eastAsia="Verdana" w:hAnsi="Verdana"/>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720" w:type="dxa"/>
            <w:vAlign w:val="bottom"/>
          </w:tcPr>
          <w:p>
            <w:pPr>
              <w:ind w:left="220"/>
              <w:spacing w:after="0" w:line="147" w:lineRule="exact"/>
              <w:rPr>
                <w:sz w:val="20"/>
                <w:szCs w:val="20"/>
                <w:color w:val="auto"/>
              </w:rPr>
            </w:pPr>
            <w:r>
              <w:rPr>
                <w:rFonts w:ascii="Verdana" w:cs="Verdana" w:eastAsia="Verdana" w:hAnsi="Verdana"/>
                <w:sz w:val="16"/>
                <w:szCs w:val="16"/>
                <w:color w:val="auto"/>
              </w:rPr>
              <w:t>Adjusted operating cash flow attributable to EQT (a)</w:t>
            </w:r>
          </w:p>
        </w:tc>
        <w:tc>
          <w:tcPr>
            <w:tcW w:w="3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974,758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19"/>
              <w:spacing w:after="0"/>
              <w:rPr>
                <w:sz w:val="20"/>
                <w:szCs w:val="20"/>
                <w:color w:val="auto"/>
              </w:rPr>
            </w:pPr>
            <w:r>
              <w:rPr>
                <w:rFonts w:ascii="Verdana" w:cs="Verdana" w:eastAsia="Verdana" w:hAnsi="Verdana"/>
                <w:sz w:val="16"/>
                <w:szCs w:val="16"/>
                <w:color w:val="auto"/>
              </w:rPr>
              <w:t>1,094,100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4,438,330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3,419,062</w:t>
            </w:r>
          </w:p>
        </w:tc>
        <w:tc>
          <w:tcPr>
            <w:tcW w:w="0" w:type="dxa"/>
            <w:vAlign w:val="bottom"/>
          </w:tcPr>
          <w:p>
            <w:pPr>
              <w:spacing w:after="0"/>
              <w:rPr>
                <w:sz w:val="1"/>
                <w:szCs w:val="1"/>
                <w:color w:val="auto"/>
              </w:rPr>
            </w:pPr>
          </w:p>
        </w:tc>
      </w:tr>
      <w:tr>
        <w:trPr>
          <w:trHeight w:val="211"/>
        </w:trPr>
        <w:tc>
          <w:tcPr>
            <w:tcW w:w="4720" w:type="dxa"/>
            <w:vAlign w:val="bottom"/>
          </w:tcPr>
          <w:p>
            <w:pPr>
              <w:ind w:left="220"/>
              <w:spacing w:after="0"/>
              <w:rPr>
                <w:sz w:val="20"/>
                <w:szCs w:val="20"/>
                <w:color w:val="auto"/>
              </w:rPr>
            </w:pPr>
            <w:r>
              <w:rPr>
                <w:rFonts w:ascii="Verdana" w:cs="Verdana" w:eastAsia="Verdana" w:hAnsi="Verdana"/>
                <w:sz w:val="16"/>
                <w:szCs w:val="16"/>
                <w:color w:val="auto"/>
              </w:rPr>
              <w:t>(c)</w:t>
            </w: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Verdana" w:cs="Verdana" w:eastAsia="Verdana" w:hAnsi="Verdana"/>
                <w:sz w:val="16"/>
                <w:szCs w:val="16"/>
                <w:color w:val="auto"/>
              </w:rPr>
              <w:t>(Deduct) add:</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Capital expenditures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(637,764)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(617,893)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(1,911,858)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(1,668,896)</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Verdana" w:cs="Verdana" w:eastAsia="Verdana" w:hAnsi="Verdana"/>
                <w:sz w:val="16"/>
                <w:szCs w:val="16"/>
                <w:color w:val="auto"/>
              </w:rPr>
              <w:t>Capital contributions to equity method investments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(60,918)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(2,359)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Verdana" w:cs="Verdana" w:eastAsia="Verdana" w:hAnsi="Verdana"/>
                <w:sz w:val="16"/>
                <w:szCs w:val="16"/>
                <w:color w:val="auto"/>
              </w:rPr>
              <w:t>(117,438)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(44,406)</w:t>
            </w:r>
          </w:p>
        </w:tc>
        <w:tc>
          <w:tcPr>
            <w:tcW w:w="0" w:type="dxa"/>
            <w:vAlign w:val="bottom"/>
          </w:tcPr>
          <w:p>
            <w:pPr>
              <w:spacing w:after="0"/>
              <w:rPr>
                <w:sz w:val="1"/>
                <w:szCs w:val="1"/>
                <w:color w:val="auto"/>
              </w:rPr>
            </w:pPr>
          </w:p>
        </w:tc>
      </w:tr>
      <w:tr>
        <w:trPr>
          <w:trHeight w:val="168"/>
        </w:trPr>
        <w:tc>
          <w:tcPr>
            <w:tcW w:w="4720" w:type="dxa"/>
            <w:vAlign w:val="bottom"/>
          </w:tcPr>
          <w:p>
            <w:pPr>
              <w:ind w:left="120"/>
              <w:spacing w:after="0" w:line="168" w:lineRule="exact"/>
              <w:rPr>
                <w:sz w:val="20"/>
                <w:szCs w:val="20"/>
                <w:color w:val="auto"/>
              </w:rPr>
            </w:pPr>
            <w:r>
              <w:rPr>
                <w:rFonts w:ascii="Verdana" w:cs="Verdana" w:eastAsia="Verdana" w:hAnsi="Verdana"/>
                <w:sz w:val="16"/>
                <w:szCs w:val="16"/>
                <w:color w:val="auto"/>
              </w:rPr>
              <w:t>Capital expenditures attributable to noncontrolling</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6,477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19"/>
              <w:spacing w:after="0"/>
              <w:rPr>
                <w:sz w:val="20"/>
                <w:szCs w:val="20"/>
                <w:color w:val="auto"/>
              </w:rPr>
            </w:pPr>
            <w:r>
              <w:rPr>
                <w:rFonts w:ascii="Verdana" w:cs="Verdana" w:eastAsia="Verdana" w:hAnsi="Verdana"/>
                <w:sz w:val="16"/>
                <w:szCs w:val="16"/>
                <w:color w:val="auto"/>
              </w:rPr>
              <w:t>9,962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30,414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30,051</w:t>
            </w:r>
          </w:p>
        </w:tc>
        <w:tc>
          <w:tcPr>
            <w:tcW w:w="0" w:type="dxa"/>
            <w:vAlign w:val="bottom"/>
          </w:tcPr>
          <w:p>
            <w:pPr>
              <w:spacing w:after="0"/>
              <w:rPr>
                <w:sz w:val="1"/>
                <w:szCs w:val="1"/>
                <w:color w:val="auto"/>
              </w:rPr>
            </w:pPr>
          </w:p>
        </w:tc>
      </w:tr>
      <w:tr>
        <w:trPr>
          <w:trHeight w:val="211"/>
        </w:trPr>
        <w:tc>
          <w:tcPr>
            <w:tcW w:w="4720" w:type="dxa"/>
            <w:vAlign w:val="bottom"/>
          </w:tcPr>
          <w:p>
            <w:pPr>
              <w:ind w:left="120"/>
              <w:spacing w:after="0"/>
              <w:rPr>
                <w:sz w:val="20"/>
                <w:szCs w:val="20"/>
                <w:color w:val="auto"/>
              </w:rPr>
            </w:pPr>
            <w:r>
              <w:rPr>
                <w:rFonts w:ascii="Verdana" w:cs="Verdana" w:eastAsia="Verdana" w:hAnsi="Verdana"/>
                <w:sz w:val="16"/>
                <w:szCs w:val="16"/>
                <w:color w:val="auto"/>
              </w:rPr>
              <w:t>interests</w:t>
            </w: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720" w:type="dxa"/>
            <w:vAlign w:val="bottom"/>
          </w:tcPr>
          <w:p>
            <w:pPr>
              <w:ind w:left="120"/>
              <w:spacing w:after="0" w:line="167" w:lineRule="exact"/>
              <w:rPr>
                <w:sz w:val="20"/>
                <w:szCs w:val="20"/>
                <w:color w:val="auto"/>
              </w:rPr>
            </w:pPr>
            <w:r>
              <w:rPr>
                <w:rFonts w:ascii="Verdana" w:cs="Verdana" w:eastAsia="Verdana" w:hAnsi="Verdana"/>
                <w:sz w:val="16"/>
                <w:szCs w:val="16"/>
                <w:color w:val="auto"/>
              </w:rPr>
              <w:t>Capital contributions to equity method investments</w:t>
            </w:r>
          </w:p>
        </w:tc>
        <w:tc>
          <w:tcPr>
            <w:tcW w:w="3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Verdana" w:cs="Verdana" w:eastAsia="Verdana" w:hAnsi="Verdana"/>
                <w:sz w:val="16"/>
                <w:szCs w:val="16"/>
                <w:color w:val="auto"/>
              </w:rPr>
              <w:t>—</w:t>
            </w: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Verdana" w:cs="Verdana" w:eastAsia="Verdana" w:hAnsi="Verdana"/>
                <w:sz w:val="16"/>
                <w:szCs w:val="16"/>
                <w:color w:val="auto"/>
              </w:rPr>
              <w:t>4,272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23,123</w:t>
            </w:r>
          </w:p>
        </w:tc>
        <w:tc>
          <w:tcPr>
            <w:tcW w:w="0" w:type="dxa"/>
            <w:vAlign w:val="bottom"/>
          </w:tcPr>
          <w:p>
            <w:pPr>
              <w:spacing w:after="0"/>
              <w:rPr>
                <w:sz w:val="1"/>
                <w:szCs w:val="1"/>
                <w:color w:val="auto"/>
              </w:rPr>
            </w:pPr>
          </w:p>
        </w:tc>
      </w:tr>
      <w:tr>
        <w:trPr>
          <w:trHeight w:val="211"/>
        </w:trPr>
        <w:tc>
          <w:tcPr>
            <w:tcW w:w="4720" w:type="dxa"/>
            <w:vAlign w:val="bottom"/>
          </w:tcPr>
          <w:p>
            <w:pPr>
              <w:ind w:left="120"/>
              <w:spacing w:after="0"/>
              <w:rPr>
                <w:sz w:val="20"/>
                <w:szCs w:val="20"/>
                <w:color w:val="auto"/>
              </w:rPr>
            </w:pPr>
            <w:r>
              <w:rPr>
                <w:rFonts w:ascii="Verdana" w:cs="Verdana" w:eastAsia="Verdana" w:hAnsi="Verdana"/>
                <w:sz w:val="16"/>
                <w:szCs w:val="16"/>
                <w:color w:val="auto"/>
              </w:rPr>
              <w:t>attributable to noncontrolling interests</w:t>
            </w: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340"/>
              <w:spacing w:after="0"/>
              <w:rPr>
                <w:sz w:val="20"/>
                <w:szCs w:val="20"/>
                <w:color w:val="auto"/>
              </w:rPr>
            </w:pPr>
            <w:r>
              <w:rPr>
                <w:rFonts w:ascii="Verdana" w:cs="Verdana" w:eastAsia="Verdana" w:hAnsi="Verdana"/>
                <w:sz w:val="16"/>
                <w:szCs w:val="16"/>
                <w:color w:val="auto"/>
              </w:rPr>
              <w:t>Free cash flow attributable to EQT (a) (c)</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Verdana" w:cs="Verdana" w:eastAsia="Verdana" w:hAnsi="Verdana"/>
                <w:sz w:val="16"/>
                <w:szCs w:val="16"/>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6"/>
                <w:szCs w:val="16"/>
                <w:color w:val="auto"/>
              </w:rPr>
              <w:t>282,553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483,810</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Verdana" w:cs="Verdana" w:eastAsia="Verdana" w:hAnsi="Verdana"/>
                <w:sz w:val="16"/>
                <w:szCs w:val="16"/>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6"/>
                <w:szCs w:val="16"/>
                <w:color w:val="auto"/>
              </w:rPr>
              <w:t>2,443,720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6"/>
                <w:szCs w:val="16"/>
                <w:color w:val="auto"/>
              </w:rPr>
              <w:t>1,758,934</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660" w:hanging="328"/>
        <w:spacing w:after="0" w:line="255" w:lineRule="auto"/>
        <w:tabs>
          <w:tab w:leader="none" w:pos="647" w:val="left"/>
        </w:tabs>
        <w:numPr>
          <w:ilvl w:val="0"/>
          <w:numId w:val="15"/>
        </w:numPr>
        <w:rPr>
          <w:rFonts w:ascii="Verdana" w:cs="Verdana" w:eastAsia="Verdana" w:hAnsi="Verdana"/>
          <w:sz w:val="14"/>
          <w:szCs w:val="14"/>
          <w:color w:val="auto"/>
        </w:rPr>
      </w:pPr>
      <w:r>
        <w:rPr>
          <w:rFonts w:ascii="Verdana" w:cs="Verdana" w:eastAsia="Verdana" w:hAnsi="Verdana"/>
          <w:sz w:val="14"/>
          <w:szCs w:val="14"/>
          <w:color w:val="auto"/>
        </w:rPr>
        <w:t>Adjusted operating cash flow, adjusted operating cash flow attributable to EQT and free cash flow attributable to EQT for the three and nine months ended September 30, 2025 included the impact of $21.0 million and $24.5 million, respectively, of cash transaction costs related to the Olympus Energy Acquisition, and, for the nine months ended September 30, 2025 included the impact of $133.7 million of net expense related to a securities class action settlement.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w:t>
      </w:r>
    </w:p>
    <w:p>
      <w:pPr>
        <w:sectPr>
          <w:pgSz w:w="11900" w:h="16838" w:orient="portrait"/>
          <w:cols w:equalWidth="0" w:num="1">
            <w:col w:w="11240"/>
          </w:cols>
          <w:pgMar w:left="320" w:top="1421" w:right="339" w:bottom="1440" w:gutter="0" w:footer="0" w:header="0"/>
        </w:sectPr>
      </w:pPr>
    </w:p>
    <w:bookmarkStart w:id="12" w:name="page13"/>
    <w:bookmarkEnd w:id="12"/>
    <w:p>
      <w:pPr>
        <w:ind w:left="660" w:hanging="328"/>
        <w:spacing w:after="0" w:line="247" w:lineRule="auto"/>
        <w:tabs>
          <w:tab w:leader="none" w:pos="651"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A non-GAAP financial measure. See above for a reconciliation of this non-GAAP financial measure to the most comparable financial measure as calculated in accordance with GAAP.</w:t>
      </w:r>
    </w:p>
    <w:p>
      <w:pPr>
        <w:jc w:val="both"/>
        <w:ind w:left="660" w:hanging="328"/>
        <w:spacing w:after="0" w:line="248" w:lineRule="auto"/>
        <w:tabs>
          <w:tab w:leader="none" w:pos="649"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Adjusted operating cash flow attributable to EQT and free cash flow attributable to EQT are calculated based on EQT Corporation's current 40% Class A Unitholder share of available cash flow distributions from the Midstream JV and 60% ownership interest in Eureka Holdings. The Company believes that using its distribution share from the Midstream JV in the calculation of these measures best reflects the economic impact of the Company's investment in the Midstream JV on adjusted operating cash flow, free cash flow and earnings trends.</w:t>
      </w:r>
    </w:p>
    <w:p>
      <w:pPr>
        <w:spacing w:after="0" w:line="22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Upstream Adjusted Operating Revenues</w:t>
      </w:r>
    </w:p>
    <w:p>
      <w:pPr>
        <w:jc w:val="both"/>
        <w:spacing w:after="0" w:line="241" w:lineRule="auto"/>
        <w:rPr>
          <w:sz w:val="20"/>
          <w:szCs w:val="20"/>
          <w:color w:val="auto"/>
        </w:rPr>
      </w:pPr>
      <w:r>
        <w:rPr>
          <w:rFonts w:ascii="Verdana" w:cs="Verdana" w:eastAsia="Verdana" w:hAnsi="Verdana"/>
          <w:sz w:val="16"/>
          <w:szCs w:val="16"/>
          <w:color w:val="auto"/>
        </w:rPr>
        <w:t>Upstream adjusted operating revenues (also referred to as total natural gas and liquids sales, including cash settled derivatives and previously referred to as Production adjusted operating revenues) is defined as total Upstream operating revenues, less the revenue</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impact of changes in the fair value of Upstream derivative instruments prior to settlement and Upstream other revenues. The Company’s management believes that this measure provides useful information to investors regarding the Company's financial condition and results of operations because it helps facilitate comparisons of operating performance and earnings trends across periods. Upstream adjusted</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operating revenues reflects only the impact of settled Upstream derivative contracts; thus, the measure excludes the often-volatile revenue impact of changes in the fair value of derivative instruments prior to settlement. The measure also excludes Upstream other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revenues because it is unrelated to the revenue from the Company's natural gas and liquids production.</w:t>
      </w:r>
    </w:p>
    <w:p>
      <w:pPr>
        <w:spacing w:after="0" w:line="23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table below reconciles Upstream adjusted operating revenues with total Upstream operating revenues, the most comparable financial measure calculated in accordance with GAAP, as reported in the Statements of Condensed Consolidated Operations to be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included in EQT Corporation's Quarterly Report on Form 10-Q for the quarter ended September 30, 2026.</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Verdana" w:cs="Verdana" w:eastAsia="Verdana" w:hAnsi="Verdana"/>
                <w:sz w:val="16"/>
                <w:szCs w:val="16"/>
                <w:b w:val="1"/>
                <w:bCs w:val="1"/>
                <w:color w:val="auto"/>
              </w:rPr>
              <w:t>Three Months Ended</w:t>
            </w:r>
          </w:p>
        </w:tc>
        <w:tc>
          <w:tcPr>
            <w:tcW w:w="340" w:type="dxa"/>
            <w:vAlign w:val="bottom"/>
          </w:tcPr>
          <w:p>
            <w:pPr>
              <w:spacing w:after="0"/>
              <w:rPr>
                <w:sz w:val="16"/>
                <w:szCs w:val="16"/>
                <w:color w:val="auto"/>
              </w:rPr>
            </w:pPr>
          </w:p>
        </w:tc>
        <w:tc>
          <w:tcPr>
            <w:tcW w:w="2920" w:type="dxa"/>
            <w:vAlign w:val="bottom"/>
            <w:gridSpan w:val="4"/>
          </w:tcPr>
          <w:p>
            <w:pPr>
              <w:jc w:val="right"/>
              <w:ind w:right="699"/>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640"/>
              <w:spacing w:after="0"/>
              <w:rPr>
                <w:sz w:val="20"/>
                <w:szCs w:val="20"/>
                <w:color w:val="auto"/>
              </w:rPr>
            </w:pPr>
            <w:r>
              <w:rPr>
                <w:rFonts w:ascii="Verdana" w:cs="Verdana" w:eastAsia="Verdana" w:hAnsi="Verdana"/>
                <w:sz w:val="16"/>
                <w:szCs w:val="16"/>
                <w:b w:val="1"/>
                <w:bCs w:val="1"/>
                <w:color w:val="auto"/>
              </w:rPr>
              <w:t>September 30,</w:t>
            </w:r>
          </w:p>
        </w:tc>
        <w:tc>
          <w:tcPr>
            <w:tcW w:w="340" w:type="dxa"/>
            <w:vAlign w:val="bottom"/>
          </w:tcPr>
          <w:p>
            <w:pPr>
              <w:spacing w:after="0"/>
              <w:rPr>
                <w:sz w:val="18"/>
                <w:szCs w:val="18"/>
                <w:color w:val="auto"/>
              </w:rPr>
            </w:pPr>
          </w:p>
        </w:tc>
        <w:tc>
          <w:tcPr>
            <w:tcW w:w="2920" w:type="dxa"/>
            <w:vAlign w:val="bottom"/>
            <w:gridSpan w:val="4"/>
          </w:tcPr>
          <w:p>
            <w:pPr>
              <w:jc w:val="right"/>
              <w:ind w:right="85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Verdana" w:cs="Verdana" w:eastAsia="Verdana" w:hAnsi="Verdana"/>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40" w:type="dxa"/>
            <w:vAlign w:val="bottom"/>
            <w:gridSpan w:val="7"/>
          </w:tcPr>
          <w:p>
            <w:pPr>
              <w:ind w:left="40"/>
              <w:spacing w:after="0"/>
              <w:rPr>
                <w:sz w:val="20"/>
                <w:szCs w:val="20"/>
                <w:color w:val="auto"/>
              </w:rPr>
            </w:pPr>
            <w:r>
              <w:rPr>
                <w:rFonts w:ascii="Verdana" w:cs="Verdana" w:eastAsia="Verdana" w:hAnsi="Verdana"/>
                <w:sz w:val="16"/>
                <w:szCs w:val="16"/>
                <w:b w:val="1"/>
                <w:bCs w:val="1"/>
                <w:color w:val="auto"/>
              </w:rPr>
              <w:t>(Thousands, unless otherwise noted)</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Total Upstream operating revenues</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1,630,178</w:t>
            </w:r>
          </w:p>
        </w:tc>
        <w:tc>
          <w:tcPr>
            <w:tcW w:w="440" w:type="dxa"/>
            <w:vAlign w:val="bottom"/>
            <w:gridSpan w:val="2"/>
          </w:tcPr>
          <w:p>
            <w:pPr>
              <w:jc w:val="right"/>
              <w:ind w:right="13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1,815,766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6,500,250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5,805,591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(Deduct) add: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Verdana" w:cs="Verdana" w:eastAsia="Verdana" w:hAnsi="Verdana"/>
                <w:sz w:val="16"/>
                <w:szCs w:val="16"/>
                <w:color w:val="auto"/>
              </w:rPr>
              <w:t>Upstream (gain) loss on derivatives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(104,913)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(135,784)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88,716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(176,829)</w:t>
            </w:r>
          </w:p>
        </w:tc>
        <w:tc>
          <w:tcPr>
            <w:tcW w:w="0" w:type="dxa"/>
            <w:vAlign w:val="bottom"/>
          </w:tcPr>
          <w:p>
            <w:pPr>
              <w:spacing w:after="0"/>
              <w:rPr>
                <w:sz w:val="1"/>
                <w:szCs w:val="1"/>
                <w:color w:val="auto"/>
              </w:rPr>
            </w:pPr>
          </w:p>
        </w:tc>
      </w:tr>
      <w:tr>
        <w:trPr>
          <w:trHeight w:val="168"/>
        </w:trPr>
        <w:tc>
          <w:tcPr>
            <w:tcW w:w="4640" w:type="dxa"/>
            <w:vAlign w:val="bottom"/>
          </w:tcPr>
          <w:p>
            <w:pPr>
              <w:ind w:left="120"/>
              <w:spacing w:after="0" w:line="168" w:lineRule="exact"/>
              <w:rPr>
                <w:sz w:val="20"/>
                <w:szCs w:val="20"/>
                <w:color w:val="auto"/>
              </w:rPr>
            </w:pPr>
            <w:r>
              <w:rPr>
                <w:rFonts w:ascii="Verdana" w:cs="Verdana" w:eastAsia="Verdana" w:hAnsi="Verdana"/>
                <w:sz w:val="16"/>
                <w:szCs w:val="16"/>
                <w:color w:val="auto"/>
              </w:rPr>
              <w:t>Upstream net cash settlements received (paid) on</w:t>
            </w: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70,119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6"/>
                <w:szCs w:val="16"/>
                <w:color w:val="auto"/>
              </w:rPr>
              <w:t>74,960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Verdana" w:cs="Verdana" w:eastAsia="Verdana" w:hAnsi="Verdana"/>
                <w:sz w:val="16"/>
                <w:szCs w:val="16"/>
                <w:color w:val="auto"/>
              </w:rPr>
              <w:t>(160,929)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Verdana" w:cs="Verdana" w:eastAsia="Verdana" w:hAnsi="Verdana"/>
                <w:sz w:val="16"/>
                <w:szCs w:val="16"/>
                <w:color w:val="auto"/>
              </w:rPr>
              <w:t>(118,390)</w:t>
            </w:r>
          </w:p>
        </w:tc>
        <w:tc>
          <w:tcPr>
            <w:tcW w:w="0" w:type="dxa"/>
            <w:vAlign w:val="bottom"/>
          </w:tcPr>
          <w:p>
            <w:pPr>
              <w:spacing w:after="0"/>
              <w:rPr>
                <w:sz w:val="1"/>
                <w:szCs w:val="1"/>
                <w:color w:val="auto"/>
              </w:rPr>
            </w:pPr>
          </w:p>
        </w:tc>
      </w:tr>
      <w:tr>
        <w:trPr>
          <w:trHeight w:val="211"/>
        </w:trPr>
        <w:tc>
          <w:tcPr>
            <w:tcW w:w="4640" w:type="dxa"/>
            <w:vAlign w:val="bottom"/>
          </w:tcPr>
          <w:p>
            <w:pPr>
              <w:ind w:left="120"/>
              <w:spacing w:after="0"/>
              <w:rPr>
                <w:sz w:val="20"/>
                <w:szCs w:val="20"/>
                <w:color w:val="auto"/>
              </w:rPr>
            </w:pPr>
            <w:r>
              <w:rPr>
                <w:rFonts w:ascii="Verdana" w:cs="Verdana" w:eastAsia="Verdana" w:hAnsi="Verdana"/>
                <w:sz w:val="16"/>
                <w:szCs w:val="16"/>
                <w:color w:val="auto"/>
              </w:rPr>
              <w:t>derivatives</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120"/>
              <w:spacing w:after="0"/>
              <w:rPr>
                <w:sz w:val="20"/>
                <w:szCs w:val="20"/>
                <w:color w:val="auto"/>
              </w:rPr>
            </w:pPr>
            <w:r>
              <w:rPr>
                <w:rFonts w:ascii="Verdana" w:cs="Verdana" w:eastAsia="Verdana" w:hAnsi="Verdana"/>
                <w:sz w:val="16"/>
                <w:szCs w:val="16"/>
                <w:color w:val="auto"/>
              </w:rPr>
              <w:t>Upstream other revenues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(8,998)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(2,365)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(22,750)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(5,919)</w:t>
            </w: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Verdana" w:cs="Verdana" w:eastAsia="Verdana" w:hAnsi="Verdana"/>
                <w:sz w:val="16"/>
                <w:szCs w:val="16"/>
                <w:color w:val="auto"/>
              </w:rPr>
              <w:t>Upstream adjusted operating revenues</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1,586,386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1,752,577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6,405,287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5,504,453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640" w:type="dxa"/>
            <w:vAlign w:val="bottom"/>
          </w:tcPr>
          <w:p>
            <w:pPr>
              <w:spacing w:after="0"/>
              <w:rPr>
                <w:sz w:val="20"/>
                <w:szCs w:val="20"/>
                <w:color w:val="auto"/>
              </w:rPr>
            </w:pPr>
            <w:r>
              <w:rPr>
                <w:rFonts w:ascii="Verdana" w:cs="Verdana" w:eastAsia="Verdana" w:hAnsi="Verdana"/>
                <w:sz w:val="16"/>
                <w:szCs w:val="16"/>
                <w:color w:val="auto"/>
              </w:rPr>
              <w:t>Total sales volume (MMcfe)</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582,802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634,395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1,834,975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1,773,373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Average sales price ($/Mcfe)</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2.60</w:t>
            </w:r>
          </w:p>
        </w:tc>
        <w:tc>
          <w:tcPr>
            <w:tcW w:w="440" w:type="dxa"/>
            <w:vAlign w:val="bottom"/>
            <w:gridSpan w:val="2"/>
          </w:tcPr>
          <w:p>
            <w:pPr>
              <w:jc w:val="right"/>
              <w:ind w:right="13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2.64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3.58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3.17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Verdana" w:cs="Verdana" w:eastAsia="Verdana" w:hAnsi="Verdana"/>
                <w:sz w:val="16"/>
                <w:szCs w:val="16"/>
                <w:color w:val="auto"/>
              </w:rPr>
              <w:t>Average realized price ($/Mcfe)</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2.72</w:t>
            </w:r>
          </w:p>
        </w:tc>
        <w:tc>
          <w:tcPr>
            <w:tcW w:w="440" w:type="dxa"/>
            <w:vAlign w:val="bottom"/>
            <w:gridSpan w:val="2"/>
          </w:tcPr>
          <w:p>
            <w:pPr>
              <w:jc w:val="right"/>
              <w:ind w:right="139"/>
              <w:spacing w:after="0"/>
              <w:rPr>
                <w:sz w:val="20"/>
                <w:szCs w:val="20"/>
                <w:color w:val="auto"/>
              </w:rPr>
            </w:pPr>
            <w:r>
              <w:rPr>
                <w:rFonts w:ascii="Verdana" w:cs="Verdana" w:eastAsia="Verdana" w:hAnsi="Verdana"/>
                <w:sz w:val="16"/>
                <w:szCs w:val="16"/>
                <w:color w:val="auto"/>
              </w:rPr>
              <w:t>$</w:t>
            </w:r>
          </w:p>
        </w:tc>
        <w:tc>
          <w:tcPr>
            <w:tcW w:w="1220" w:type="dxa"/>
            <w:vAlign w:val="bottom"/>
          </w:tcPr>
          <w:p>
            <w:pPr>
              <w:jc w:val="right"/>
              <w:spacing w:after="0"/>
              <w:rPr>
                <w:sz w:val="20"/>
                <w:szCs w:val="20"/>
                <w:color w:val="auto"/>
              </w:rPr>
            </w:pPr>
            <w:r>
              <w:rPr>
                <w:rFonts w:ascii="Verdana" w:cs="Verdana" w:eastAsia="Verdana" w:hAnsi="Verdana"/>
                <w:sz w:val="16"/>
                <w:szCs w:val="16"/>
                <w:color w:val="auto"/>
              </w:rPr>
              <w:t>2.76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ind w:right="19"/>
              <w:spacing w:after="0"/>
              <w:rPr>
                <w:sz w:val="20"/>
                <w:szCs w:val="20"/>
                <w:color w:val="auto"/>
              </w:rPr>
            </w:pPr>
            <w:r>
              <w:rPr>
                <w:rFonts w:ascii="Verdana" w:cs="Verdana" w:eastAsia="Verdana" w:hAnsi="Verdana"/>
                <w:sz w:val="16"/>
                <w:szCs w:val="16"/>
                <w:color w:val="auto"/>
              </w:rPr>
              <w:t>3.49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10</w:t>
      </w:r>
    </w:p>
    <w:p>
      <w:pPr>
        <w:sectPr>
          <w:pgSz w:w="11900" w:h="16838" w:orient="portrait"/>
          <w:cols w:equalWidth="0" w:num="1">
            <w:col w:w="11240"/>
          </w:cols>
          <w:pgMar w:left="320" w:top="1426" w:right="339" w:bottom="1440" w:gutter="0" w:footer="0" w:header="0"/>
        </w:sectPr>
      </w:pPr>
    </w:p>
    <w:bookmarkStart w:id="13" w:name="page14"/>
    <w:bookmarkEnd w:id="13"/>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Net Debt</w:t>
      </w:r>
    </w:p>
    <w:p>
      <w:pPr>
        <w:jc w:val="both"/>
        <w:spacing w:after="0" w:line="241" w:lineRule="auto"/>
        <w:rPr>
          <w:sz w:val="20"/>
          <w:szCs w:val="20"/>
          <w:color w:val="auto"/>
        </w:rPr>
      </w:pPr>
      <w:r>
        <w:rPr>
          <w:rFonts w:ascii="Verdana" w:cs="Verdana" w:eastAsia="Verdana" w:hAnsi="Verdana"/>
          <w:sz w:val="16"/>
          <w:szCs w:val="16"/>
          <w:color w:val="auto"/>
        </w:rPr>
        <w:t>Net debt is defined as total debt less cash and cash equivalents. Total debt includes the Company's current portion of debt, revolving credit facility borrowings and senior notes. The Company's management believes that net debt provides useful information to investors</w:t>
      </w:r>
    </w:p>
    <w:p>
      <w:pPr>
        <w:spacing w:after="0" w:line="1"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regarding the Company's financial condition and assists them in evaluating the Company's leverage since the Company could choose to use its cash and cash equivalents to retire debt.</w:t>
      </w:r>
    </w:p>
    <w:p>
      <w:pPr>
        <w:spacing w:after="0" w:line="225" w:lineRule="exact"/>
        <w:rPr>
          <w:sz w:val="20"/>
          <w:szCs w:val="20"/>
          <w:color w:val="auto"/>
        </w:rPr>
      </w:pPr>
    </w:p>
    <w:p>
      <w:pPr>
        <w:jc w:val="both"/>
        <w:spacing w:after="0" w:line="243" w:lineRule="auto"/>
        <w:rPr>
          <w:sz w:val="20"/>
          <w:szCs w:val="20"/>
          <w:color w:val="auto"/>
        </w:rPr>
      </w:pPr>
      <w:r>
        <w:rPr>
          <w:rFonts w:ascii="Verdana" w:cs="Verdana" w:eastAsia="Verdana" w:hAnsi="Verdana"/>
          <w:sz w:val="16"/>
          <w:szCs w:val="16"/>
          <w:color w:val="auto"/>
        </w:rPr>
        <w:t>The table below reconciles net debt with total debt, the most comparable financial measure calculated in accordance with GAAP, as derived from the Condensed Consolidated Balance Sheets to be included in EQT Corporation's Quarterly Report on Form 10-Q for the quarter ended September 30, 2026.</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20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6"/>
                <w:szCs w:val="16"/>
                <w:b w:val="1"/>
                <w:bCs w:val="1"/>
                <w:color w:val="auto"/>
              </w:rPr>
              <w:t>September 30, 2026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
              <w:spacing w:after="0"/>
              <w:rPr>
                <w:sz w:val="20"/>
                <w:szCs w:val="20"/>
                <w:color w:val="auto"/>
              </w:rPr>
            </w:pPr>
            <w:r>
              <w:rPr>
                <w:rFonts w:ascii="Verdana" w:cs="Verdana" w:eastAsia="Verdana" w:hAnsi="Verdana"/>
                <w:sz w:val="16"/>
                <w:szCs w:val="16"/>
                <w:b w:val="1"/>
                <w:bCs w:val="1"/>
                <w:color w:val="auto"/>
              </w:rPr>
              <w:t>December 31, 2025</w:t>
            </w:r>
          </w:p>
        </w:tc>
      </w:tr>
      <w:tr>
        <w:trPr>
          <w:trHeight w:val="247"/>
        </w:trPr>
        <w:tc>
          <w:tcPr>
            <w:tcW w:w="7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540" w:type="dxa"/>
            <w:vAlign w:val="bottom"/>
            <w:gridSpan w:val="4"/>
          </w:tcPr>
          <w:p>
            <w:pPr>
              <w:jc w:val="right"/>
              <w:ind w:right="1419"/>
              <w:spacing w:after="0"/>
              <w:rPr>
                <w:sz w:val="20"/>
                <w:szCs w:val="20"/>
                <w:color w:val="auto"/>
              </w:rPr>
            </w:pPr>
            <w:r>
              <w:rPr>
                <w:rFonts w:ascii="Verdana" w:cs="Verdana" w:eastAsia="Verdana" w:hAnsi="Verdana"/>
                <w:sz w:val="16"/>
                <w:szCs w:val="16"/>
                <w:b w:val="1"/>
                <w:bCs w:val="1"/>
                <w:color w:val="auto"/>
              </w:rPr>
              <w:t>(Thousands)</w:t>
            </w:r>
          </w:p>
        </w:tc>
      </w:tr>
      <w:tr>
        <w:trPr>
          <w:trHeight w:val="216"/>
        </w:trPr>
        <w:tc>
          <w:tcPr>
            <w:tcW w:w="7060" w:type="dxa"/>
            <w:vAlign w:val="bottom"/>
          </w:tcPr>
          <w:p>
            <w:pPr>
              <w:spacing w:after="0"/>
              <w:rPr>
                <w:sz w:val="20"/>
                <w:szCs w:val="20"/>
                <w:color w:val="auto"/>
              </w:rPr>
            </w:pPr>
            <w:r>
              <w:rPr>
                <w:rFonts w:ascii="Verdana" w:cs="Verdana" w:eastAsia="Verdana" w:hAnsi="Verdana"/>
                <w:sz w:val="16"/>
                <w:szCs w:val="16"/>
                <w:color w:val="auto"/>
              </w:rPr>
              <w:t>Current portion of debt (a)</w:t>
            </w:r>
          </w:p>
        </w:tc>
        <w:tc>
          <w:tcPr>
            <w:tcW w:w="620" w:type="dxa"/>
            <w:vAlign w:val="bottom"/>
          </w:tcPr>
          <w:p>
            <w:pPr>
              <w:jc w:val="right"/>
              <w:ind w:right="419"/>
              <w:spacing w:after="0"/>
              <w:rPr>
                <w:sz w:val="20"/>
                <w:szCs w:val="20"/>
                <w:color w:val="auto"/>
              </w:rPr>
            </w:pPr>
            <w:r>
              <w:rPr>
                <w:rFonts w:ascii="Verdana" w:cs="Verdana" w:eastAsia="Verdana" w:hAnsi="Verdana"/>
                <w:sz w:val="16"/>
                <w:szCs w:val="16"/>
                <w:color w:val="auto"/>
                <w:w w:val="97"/>
              </w:rPr>
              <w:t>$</w:t>
            </w:r>
          </w:p>
        </w:tc>
        <w:tc>
          <w:tcPr>
            <w:tcW w:w="1520" w:type="dxa"/>
            <w:vAlign w:val="bottom"/>
            <w:gridSpan w:val="2"/>
          </w:tcPr>
          <w:p>
            <w:pPr>
              <w:jc w:val="right"/>
              <w:ind w:right="200"/>
              <w:spacing w:after="0"/>
              <w:rPr>
                <w:sz w:val="20"/>
                <w:szCs w:val="20"/>
                <w:color w:val="auto"/>
              </w:rPr>
            </w:pPr>
            <w:r>
              <w:rPr>
                <w:rFonts w:ascii="Verdana" w:cs="Verdana" w:eastAsia="Verdana" w:hAnsi="Verdana"/>
                <w:sz w:val="16"/>
                <w:szCs w:val="16"/>
                <w:color w:val="auto"/>
              </w:rPr>
              <w:t>—</w:t>
            </w:r>
          </w:p>
        </w:tc>
        <w:tc>
          <w:tcPr>
            <w:tcW w:w="12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1900" w:type="dxa"/>
            <w:vAlign w:val="bottom"/>
          </w:tcPr>
          <w:p>
            <w:pPr>
              <w:jc w:val="right"/>
              <w:spacing w:after="0"/>
              <w:rPr>
                <w:sz w:val="20"/>
                <w:szCs w:val="20"/>
                <w:color w:val="auto"/>
              </w:rPr>
            </w:pPr>
            <w:r>
              <w:rPr>
                <w:rFonts w:ascii="Verdana" w:cs="Verdana" w:eastAsia="Verdana" w:hAnsi="Verdana"/>
                <w:sz w:val="16"/>
                <w:szCs w:val="16"/>
                <w:color w:val="auto"/>
              </w:rPr>
              <w:t>507,119</w:t>
            </w:r>
          </w:p>
        </w:tc>
      </w:tr>
      <w:tr>
        <w:trPr>
          <w:trHeight w:val="216"/>
        </w:trPr>
        <w:tc>
          <w:tcPr>
            <w:tcW w:w="7060" w:type="dxa"/>
            <w:vAlign w:val="bottom"/>
          </w:tcPr>
          <w:p>
            <w:pPr>
              <w:spacing w:after="0"/>
              <w:rPr>
                <w:sz w:val="20"/>
                <w:szCs w:val="20"/>
                <w:color w:val="auto"/>
              </w:rPr>
            </w:pPr>
            <w:r>
              <w:rPr>
                <w:rFonts w:ascii="Verdana" w:cs="Verdana" w:eastAsia="Verdana" w:hAnsi="Verdana"/>
                <w:sz w:val="16"/>
                <w:szCs w:val="16"/>
                <w:color w:val="auto"/>
              </w:rPr>
              <w:t>Revolving credit facility borrowings (b)</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Verdana" w:cs="Verdana" w:eastAsia="Verdana" w:hAnsi="Verdana"/>
                <w:sz w:val="16"/>
                <w:szCs w:val="16"/>
                <w:color w:val="auto"/>
              </w:rPr>
              <w:t>333,000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Verdana" w:cs="Verdana" w:eastAsia="Verdana" w:hAnsi="Verdana"/>
                <w:sz w:val="16"/>
                <w:szCs w:val="16"/>
                <w:color w:val="auto"/>
              </w:rPr>
              <w:t>360,000</w:t>
            </w:r>
          </w:p>
        </w:tc>
      </w:tr>
      <w:tr>
        <w:trPr>
          <w:trHeight w:val="216"/>
        </w:trPr>
        <w:tc>
          <w:tcPr>
            <w:tcW w:w="7060" w:type="dxa"/>
            <w:vAlign w:val="bottom"/>
          </w:tcPr>
          <w:p>
            <w:pPr>
              <w:spacing w:after="0"/>
              <w:rPr>
                <w:sz w:val="20"/>
                <w:szCs w:val="20"/>
                <w:color w:val="auto"/>
              </w:rPr>
            </w:pPr>
            <w:r>
              <w:rPr>
                <w:rFonts w:ascii="Verdana" w:cs="Verdana" w:eastAsia="Verdana" w:hAnsi="Verdana"/>
                <w:sz w:val="16"/>
                <w:szCs w:val="16"/>
                <w:color w:val="auto"/>
              </w:rPr>
              <w:t>Senior notes</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5,219,552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6,933,209</w:t>
            </w:r>
          </w:p>
        </w:tc>
      </w:tr>
      <w:tr>
        <w:trPr>
          <w:trHeight w:val="210"/>
        </w:trPr>
        <w:tc>
          <w:tcPr>
            <w:tcW w:w="7060" w:type="dxa"/>
            <w:vAlign w:val="bottom"/>
          </w:tcPr>
          <w:p>
            <w:pPr>
              <w:ind w:left="120"/>
              <w:spacing w:after="0"/>
              <w:rPr>
                <w:sz w:val="20"/>
                <w:szCs w:val="20"/>
                <w:color w:val="auto"/>
              </w:rPr>
            </w:pPr>
            <w:r>
              <w:rPr>
                <w:rFonts w:ascii="Verdana" w:cs="Verdana" w:eastAsia="Verdana" w:hAnsi="Verdana"/>
                <w:sz w:val="16"/>
                <w:szCs w:val="16"/>
                <w:color w:val="auto"/>
              </w:rPr>
              <w:t>Total debt</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Verdana" w:cs="Verdana" w:eastAsia="Verdana" w:hAnsi="Verdana"/>
                <w:sz w:val="16"/>
                <w:szCs w:val="16"/>
                <w:color w:val="auto"/>
              </w:rPr>
              <w:t>5,552,552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Verdana" w:cs="Verdana" w:eastAsia="Verdana" w:hAnsi="Verdana"/>
                <w:sz w:val="16"/>
                <w:szCs w:val="16"/>
                <w:color w:val="auto"/>
              </w:rPr>
              <w:t>7,800,328</w:t>
            </w:r>
          </w:p>
        </w:tc>
      </w:tr>
      <w:tr>
        <w:trPr>
          <w:trHeight w:val="218"/>
        </w:trPr>
        <w:tc>
          <w:tcPr>
            <w:tcW w:w="7060" w:type="dxa"/>
            <w:vAlign w:val="bottom"/>
          </w:tcPr>
          <w:p>
            <w:pPr>
              <w:spacing w:after="0"/>
              <w:rPr>
                <w:sz w:val="20"/>
                <w:szCs w:val="20"/>
                <w:color w:val="auto"/>
              </w:rPr>
            </w:pPr>
            <w:r>
              <w:rPr>
                <w:rFonts w:ascii="Verdana" w:cs="Verdana" w:eastAsia="Verdana" w:hAnsi="Verdana"/>
                <w:sz w:val="16"/>
                <w:szCs w:val="16"/>
                <w:color w:val="auto"/>
              </w:rPr>
              <w:t>Deduct: Cash and cash equivalents</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(78,715)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(110,795)</w:t>
            </w:r>
          </w:p>
        </w:tc>
      </w:tr>
      <w:tr>
        <w:trPr>
          <w:trHeight w:val="212"/>
        </w:trPr>
        <w:tc>
          <w:tcPr>
            <w:tcW w:w="7060" w:type="dxa"/>
            <w:vAlign w:val="bottom"/>
          </w:tcPr>
          <w:p>
            <w:pPr>
              <w:ind w:left="200"/>
              <w:spacing w:after="0"/>
              <w:rPr>
                <w:sz w:val="20"/>
                <w:szCs w:val="20"/>
                <w:color w:val="auto"/>
              </w:rPr>
            </w:pPr>
            <w:r>
              <w:rPr>
                <w:rFonts w:ascii="Verdana" w:cs="Verdana" w:eastAsia="Verdana" w:hAnsi="Verdana"/>
                <w:sz w:val="16"/>
                <w:szCs w:val="16"/>
                <w:color w:val="auto"/>
              </w:rPr>
              <w:t>Net debt</w:t>
            </w:r>
          </w:p>
        </w:tc>
        <w:tc>
          <w:tcPr>
            <w:tcW w:w="620" w:type="dxa"/>
            <w:vAlign w:val="bottom"/>
            <w:tcBorders>
              <w:bottom w:val="single" w:sz="8" w:color="auto"/>
            </w:tcBorders>
          </w:tcPr>
          <w:p>
            <w:pPr>
              <w:jc w:val="right"/>
              <w:ind w:right="419"/>
              <w:spacing w:after="0"/>
              <w:rPr>
                <w:sz w:val="20"/>
                <w:szCs w:val="20"/>
                <w:color w:val="auto"/>
              </w:rPr>
            </w:pPr>
            <w:r>
              <w:rPr>
                <w:rFonts w:ascii="Verdana" w:cs="Verdana" w:eastAsia="Verdana" w:hAnsi="Verdana"/>
                <w:sz w:val="16"/>
                <w:szCs w:val="16"/>
                <w:color w:val="auto"/>
                <w:w w:val="97"/>
              </w:rPr>
              <w:t>$</w:t>
            </w: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5,473,837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w w:val="97"/>
              </w:rPr>
              <w:t>$</w:t>
            </w:r>
          </w:p>
        </w:tc>
        <w:tc>
          <w:tcPr>
            <w:tcW w:w="19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7,689,533</w:t>
            </w:r>
          </w:p>
        </w:tc>
      </w:tr>
      <w:tr>
        <w:trPr>
          <w:trHeight w:val="21"/>
        </w:trPr>
        <w:tc>
          <w:tcPr>
            <w:tcW w:w="7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40" w:hanging="308"/>
        <w:spacing w:after="0"/>
        <w:tabs>
          <w:tab w:leader="none" w:pos="640" w:val="left"/>
        </w:tabs>
        <w:numPr>
          <w:ilvl w:val="0"/>
          <w:numId w:val="17"/>
        </w:numPr>
        <w:rPr>
          <w:rFonts w:ascii="Verdana" w:cs="Verdana" w:eastAsia="Verdana" w:hAnsi="Verdana"/>
          <w:sz w:val="14"/>
          <w:szCs w:val="14"/>
          <w:color w:val="auto"/>
        </w:rPr>
      </w:pPr>
      <w:r>
        <w:rPr>
          <w:rFonts w:ascii="Verdana" w:cs="Verdana" w:eastAsia="Verdana" w:hAnsi="Verdana"/>
          <w:sz w:val="14"/>
          <w:szCs w:val="14"/>
          <w:color w:val="auto"/>
        </w:rPr>
        <w:t>As of December 31, 2025, the current portion of debt included EQT Corporation's 3.125% senior notes and 7.75% debentures.</w:t>
      </w:r>
    </w:p>
    <w:p>
      <w:pPr>
        <w:spacing w:after="0" w:line="5" w:lineRule="exact"/>
        <w:rPr>
          <w:rFonts w:ascii="Verdana" w:cs="Verdana" w:eastAsia="Verdana" w:hAnsi="Verdana"/>
          <w:sz w:val="14"/>
          <w:szCs w:val="14"/>
          <w:color w:val="auto"/>
        </w:rPr>
      </w:pPr>
    </w:p>
    <w:p>
      <w:pPr>
        <w:ind w:left="660" w:hanging="328"/>
        <w:spacing w:after="0" w:line="270" w:lineRule="auto"/>
        <w:tabs>
          <w:tab w:leader="none" w:pos="651" w:val="left"/>
        </w:tabs>
        <w:numPr>
          <w:ilvl w:val="0"/>
          <w:numId w:val="17"/>
        </w:numPr>
        <w:rPr>
          <w:rFonts w:ascii="Verdana" w:cs="Verdana" w:eastAsia="Verdana" w:hAnsi="Verdana"/>
          <w:sz w:val="14"/>
          <w:szCs w:val="14"/>
          <w:color w:val="auto"/>
        </w:rPr>
      </w:pPr>
      <w:r>
        <w:rPr>
          <w:rFonts w:ascii="Verdana" w:cs="Verdana" w:eastAsia="Verdana" w:hAnsi="Verdana"/>
          <w:sz w:val="14"/>
          <w:szCs w:val="14"/>
          <w:color w:val="auto"/>
        </w:rPr>
        <w:t>As of September 30, 2026 and December 31, 2025, revolving credit facility borrowings included $270 million and $285 million, respectively, of borrowings outstanding under Eureka’s revolving credit facility.</w:t>
      </w:r>
    </w:p>
    <w:p>
      <w:pPr>
        <w:spacing w:after="0" w:line="20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Investor Contact</w:t>
      </w:r>
    </w:p>
    <w:p>
      <w:pPr>
        <w:spacing w:after="0" w:line="233" w:lineRule="auto"/>
        <w:rPr>
          <w:sz w:val="20"/>
          <w:szCs w:val="20"/>
          <w:color w:val="auto"/>
        </w:rPr>
      </w:pPr>
      <w:r>
        <w:rPr>
          <w:rFonts w:ascii="Verdana" w:cs="Verdana" w:eastAsia="Verdana" w:hAnsi="Verdana"/>
          <w:sz w:val="16"/>
          <w:szCs w:val="16"/>
          <w:color w:val="auto"/>
        </w:rPr>
        <w:t>Cameron Horwitz</w:t>
      </w:r>
    </w:p>
    <w:p>
      <w:pPr>
        <w:spacing w:after="0"/>
        <w:rPr>
          <w:sz w:val="20"/>
          <w:szCs w:val="20"/>
          <w:color w:val="auto"/>
        </w:rPr>
      </w:pPr>
      <w:r>
        <w:rPr>
          <w:rFonts w:ascii="Verdana" w:cs="Verdana" w:eastAsia="Verdana" w:hAnsi="Verdana"/>
          <w:sz w:val="16"/>
          <w:szCs w:val="16"/>
          <w:color w:val="auto"/>
        </w:rPr>
        <w:t>Managing Director, Investor Relations &amp; Strategy</w:t>
      </w:r>
    </w:p>
    <w:p>
      <w:pPr>
        <w:spacing w:after="0" w:line="3" w:lineRule="exact"/>
        <w:rPr>
          <w:sz w:val="20"/>
          <w:szCs w:val="20"/>
          <w:color w:val="auto"/>
        </w:rPr>
      </w:pPr>
    </w:p>
    <w:p>
      <w:pPr>
        <w:spacing w:after="0"/>
        <w:rPr>
          <w:sz w:val="20"/>
          <w:szCs w:val="20"/>
          <w:color w:val="auto"/>
        </w:rPr>
      </w:pPr>
      <w:r>
        <w:rPr>
          <w:rFonts w:ascii="Verdana" w:cs="Verdana" w:eastAsia="Verdana" w:hAnsi="Verdana"/>
          <w:sz w:val="16"/>
          <w:szCs w:val="16"/>
          <w:color w:val="auto"/>
        </w:rPr>
        <w:t>412.445.8454</w:t>
      </w:r>
    </w:p>
    <w:p>
      <w:pPr>
        <w:spacing w:after="0"/>
        <w:rPr>
          <w:sz w:val="20"/>
          <w:szCs w:val="20"/>
          <w:color w:val="auto"/>
        </w:rPr>
      </w:pPr>
      <w:r>
        <w:rPr>
          <w:rFonts w:ascii="Verdana" w:cs="Verdana" w:eastAsia="Verdana" w:hAnsi="Verdana"/>
          <w:sz w:val="16"/>
          <w:szCs w:val="16"/>
          <w:color w:val="auto"/>
        </w:rPr>
        <w:t>Cameron.Horwitz@eqt.com</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EQT Corporation</w:t>
      </w:r>
    </w:p>
    <w:p>
      <w:pPr>
        <w:spacing w:after="0"/>
        <w:rPr>
          <w:sz w:val="20"/>
          <w:szCs w:val="20"/>
          <w:color w:val="auto"/>
        </w:rPr>
      </w:pPr>
      <w:r>
        <w:rPr>
          <w:rFonts w:ascii="Verdana" w:cs="Verdana" w:eastAsia="Verdana" w:hAnsi="Verdana"/>
          <w:sz w:val="16"/>
          <w:szCs w:val="16"/>
          <w:color w:val="auto"/>
        </w:rPr>
        <w:t>EQT Corporation is a premier, vertically integrated American natural gas company with upstream and midstream operations focused in</w:t>
      </w:r>
    </w:p>
    <w:p>
      <w:pPr>
        <w:spacing w:after="0" w:line="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Appalachian Basin. We are dedicated to responsibly developing our world-class asset base and being the operator of choice for our stakeholders. By leveraging a culture that prioritizes operational efficiency, technology and sustainability, we seek to continuously</w:t>
      </w:r>
    </w:p>
    <w:p>
      <w:pPr>
        <w:spacing w:after="0" w:line="1" w:lineRule="exact"/>
        <w:rPr>
          <w:sz w:val="20"/>
          <w:szCs w:val="20"/>
          <w:color w:val="auto"/>
        </w:rPr>
      </w:pPr>
    </w:p>
    <w:p>
      <w:pPr>
        <w:jc w:val="both"/>
        <w:spacing w:after="0" w:line="243" w:lineRule="auto"/>
        <w:rPr>
          <w:sz w:val="20"/>
          <w:szCs w:val="20"/>
          <w:color w:val="auto"/>
        </w:rPr>
      </w:pPr>
      <w:r>
        <w:rPr>
          <w:rFonts w:ascii="Verdana" w:cs="Verdana" w:eastAsia="Verdana" w:hAnsi="Verdana"/>
          <w:sz w:val="16"/>
          <w:szCs w:val="16"/>
          <w:color w:val="auto"/>
        </w:rPr>
        <w:t>improve the way we produce environmentally responsible, reliable and low-cost energy. We have a longstanding commitment to the safety of our employees, contractors, and communities, and to the reduction of our overall environmental footprint. Our values are evident in the way we operate and in how we interact each day – trust, teamwork, heart, and evolution are at the center of all we do.</w:t>
      </w:r>
    </w:p>
    <w:p>
      <w:pPr>
        <w:spacing w:after="0" w:line="233"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EQT management speaks to investors from time to time and the analyst presentation for these discussions, which is updated periodically, is available via EQT’s investor relations website at ir.eqt.com.</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11</w:t>
      </w:r>
    </w:p>
    <w:p>
      <w:pPr>
        <w:sectPr>
          <w:pgSz w:w="11900" w:h="16838" w:orient="portrait"/>
          <w:cols w:equalWidth="0" w:num="1">
            <w:col w:w="11240"/>
          </w:cols>
          <w:pgMar w:left="320" w:top="1418"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Cautionary Statements Regarding Forward-Looking Statements</w:t>
      </w:r>
    </w:p>
    <w:p>
      <w:pPr>
        <w:jc w:val="both"/>
        <w:spacing w:after="0" w:line="241" w:lineRule="auto"/>
        <w:rPr>
          <w:sz w:val="20"/>
          <w:szCs w:val="20"/>
          <w:color w:val="auto"/>
        </w:rPr>
      </w:pPr>
      <w:r>
        <w:rPr>
          <w:rFonts w:ascii="Verdana" w:cs="Verdana" w:eastAsia="Verdana" w:hAnsi="Verdana"/>
          <w:sz w:val="16"/>
          <w:szCs w:val="16"/>
          <w:color w:val="auto"/>
        </w:rPr>
        <w:t>This news release contains forward-looking statements within the meaning of Section 21E of the Securities Exchange Act of 1934, as amended, and Section 27A of the Securities Act of 1933, as amended. Statements that do not relate strictly to historical or current facts</w:t>
      </w:r>
    </w:p>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are forward-looking. Without limiting the generality of the foregoing, forward-looking statements contained in this news release or made during the above referenced conference call specifically include the expectations of plans, strategies, objectives and growth and</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anticipated financial and operational performance of EQT Corporation (EQT) and its consolidated subsidiaries (collectively, the Company), including guidance regarding the Company's strategy to develop its reserves; drilling plans and programs (including the number and type of drilling rigs and the number of frac crews to be utilized by the Company, the projected amount of wells to be turned-in-line and</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timing thereof); projected natural gas prices, basis and average differential; the impact of commodity prices on the Company's business; total resource potential; projected production and sales volumes, including projected strategic curtailments and the timing,</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duration and volume thereof; projected capital expenditures and per unit operating costs; the amount and timing of distributions to and from the Company's joint venture arrangements; the Company's ability to successfully implement and execute its operational and organizational initiatives, the timing thereof and the Company's ability to achieve the anticipated results of such initiatives; the</w:t>
      </w:r>
    </w:p>
    <w:p>
      <w:pPr>
        <w:spacing w:after="0" w:line="2"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Company's plans, objectives, expectations, goals and projections relating to the Company's LNG offtake and tolling agreements and growth projects, including statements relating to the anticipated in-service dates, volume, duration, cost, anticipated impacts to free cash flow and investment returns thereof; the Company's ability to achieve the intended operational, financial and strategic benefits</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from any proposed and recently completed strategic transactions, including the proposed transaction (the proposed transaction) between EQT and Range Resources Corporation (Range), and the timing thereof; other statements regarding the proposed transaction, including</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the expected closing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the amount and timing</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of any redemptions, repayments or repurchases of EQT's common stock, the Company's outstanding debt securities or other debt instruments; the Company's ability to reduce its debt and the timing of such reductions, if any; projected free cash flow; liquidity and</w:t>
      </w:r>
    </w:p>
    <w:p>
      <w:pPr>
        <w:spacing w:after="0" w:line="1"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financing requirements, including funding sources and availability; the Company's hedging strategy and projected margin posting obligations; the Company’s tax position and projected effective tax rate; and the expected impact of changes in laws.</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The forward-looking statements included in this news release or made during the above referenced conference call involve risks and</w:t>
      </w:r>
    </w:p>
    <w:p>
      <w:pPr>
        <w:spacing w:after="0" w:line="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uncertainties that could cause actual results to differ materially from projected results. Accordingly, investors should not place undue reliance on forward-looking statements as a prediction of actual results. The Company has based these forward-looking statements on</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current expectations and assumptions about future events, taking into account all information currently known by the Company. While the Company considers these expectations and assumptions to be reasonable, they are inherently subject to significant business, economic, competitive, regulatory and other risks and uncertainties, many of which are difficult to predict and beyond the Company’s</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control. These risks and uncertainties include, but are not limited to, volatility of commodity prices; the costs and results of drilling and operations; uncertainties about estimates of reserves, identification of drilling locations and the ability to add proved reserves in the</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future; the assumptions underlying production forecasts; the quality of technical data; the Company's ability to appropriately allocate capital and other resources among its strategic opportunities; access to and cost of capital; the Company's hedging and other financial contracts; inherent hazards and risks normally incidental to drilling for, producing, transporting, storing and processing natural gas,</w:t>
      </w:r>
    </w:p>
    <w:p>
      <w:pPr>
        <w:spacing w:after="0" w:line="2"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natural gas liquids (NGLs) and oil; operational risks and hazards incidental to the gathering, transmission and storage of natural gas as well as unforeseen interruptions; cyber security risks and acts of sabotage; availability and cost of drilling rigs, completion services, equipment, supplies, personnel, oilfield services and pipe, sand and water required to execute the Company's exploration and</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development plans, including as a result of inflationary pressures or tariffs; risks associated with operating primarily in the Appalachian Basin; the ability to obtain environmental and other permits and the timing thereof; construction, business, economic, competitive,</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regulatory, judicial, environmental, political and legal uncertainties related to the development and construction by the Company or its joint ventures of pipeline and storage facilities and transmission assets and the optimization of such assets; the Company's ability to renew or replace expiring gathering, transmission or storage contracts at favorable rates, on a long-term basis or at all; risks relating to</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Company's joint venture arrangements; government regulation or action, including regulations pertaining to methane and other greenhouse gas emissions; negative public perception of the fossil fuels industry; increased consumer demand for alternatives to natural</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gas; environmental and weather risks, including the possible impacts of climate change; and disruptions to the Company's business due to recently completed or pending divestitures, acquisitions and other significant strategic transactions, including the proposed transaction between EQT and Range; and other risks related to the proposed transaction between EQT and Range, including potential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delays in consummation,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12</w:t>
      </w:r>
    </w:p>
    <w:p>
      <w:pPr>
        <w:sectPr>
          <w:pgSz w:w="11900" w:h="16838" w:orient="portrait"/>
          <w:cols w:equalWidth="0" w:num="1">
            <w:col w:w="11240"/>
          </w:cols>
          <w:pgMar w:left="320" w:top="1418" w:right="339" w:bottom="1440" w:gutter="0" w:footer="0" w:header="0"/>
        </w:sectPr>
      </w:pPr>
    </w:p>
    <w:bookmarkStart w:id="15" w:name="page16"/>
    <w:bookmarkEnd w:id="15"/>
    <w:p>
      <w:pPr>
        <w:jc w:val="both"/>
        <w:spacing w:after="0" w:line="241" w:lineRule="auto"/>
        <w:rPr>
          <w:sz w:val="20"/>
          <w:szCs w:val="20"/>
          <w:color w:val="auto"/>
        </w:rPr>
      </w:pPr>
      <w:r>
        <w:rPr>
          <w:rFonts w:ascii="Verdana" w:cs="Verdana" w:eastAsia="Verdana" w:hAnsi="Verdana"/>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including as a result of regulatory proceedings, the risk that EQT's shareholders or Range’s shareholders do not approve the transaction, the risk that regulatory approvals are not obtained or are obtained subject to conditions that are not anticipated, EQT's ability to</w:t>
      </w:r>
    </w:p>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integrate the acquired operations and assets in a successful manner and in the expected time period and the possibility that any of the anticipated benefits and projected synergies of such transaction will not be realized or will not be realized within the expected time</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period. These and other risks and uncertainties are described under the "Risk Factors" section and elsewhere in EQT's Annual Report on Form 10-K for the year ended December 31, 2025 and subsequent Quarterly Reports on Form 10-Q and other documents EQT subsequently files from time to time with the Securities and Exchange Commission. In addition, the Company may be subject to</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currently unforeseen risks that may have a materially adverse impact on it.</w:t>
      </w:r>
    </w:p>
    <w:p>
      <w:pPr>
        <w:spacing w:after="0" w:line="238" w:lineRule="exact"/>
        <w:rPr>
          <w:sz w:val="20"/>
          <w:szCs w:val="20"/>
          <w:color w:val="auto"/>
        </w:rPr>
      </w:pPr>
    </w:p>
    <w:p>
      <w:pPr>
        <w:jc w:val="both"/>
        <w:spacing w:after="0" w:line="270" w:lineRule="auto"/>
        <w:rPr>
          <w:sz w:val="20"/>
          <w:szCs w:val="20"/>
          <w:color w:val="auto"/>
        </w:rPr>
      </w:pPr>
      <w:r>
        <w:rPr>
          <w:rFonts w:ascii="Verdana" w:cs="Verdana" w:eastAsia="Verdana" w:hAnsi="Verdana"/>
          <w:sz w:val="16"/>
          <w:szCs w:val="16"/>
          <w:color w:val="auto"/>
        </w:rPr>
        <w:t>Any forward-looking statement speaks only as of the date on which such statement is made, and, except as required by law, EQT does not intend to correct or update any forward-looking statement, whether as a result of new information, future events or otherwise.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Important Information for Investors and Shareholders; Additional Information and Where to Find It</w:t>
      </w:r>
    </w:p>
    <w:p>
      <w:pPr>
        <w:jc w:val="both"/>
        <w:spacing w:after="0" w:line="241" w:lineRule="auto"/>
        <w:rPr>
          <w:sz w:val="20"/>
          <w:szCs w:val="20"/>
          <w:color w:val="auto"/>
        </w:rPr>
      </w:pPr>
      <w:r>
        <w:rPr>
          <w:rFonts w:ascii="Verdana" w:cs="Verdana" w:eastAsia="Verdana" w:hAnsi="Verdana"/>
          <w:sz w:val="16"/>
          <w:szCs w:val="16"/>
          <w:color w:val="auto"/>
        </w:rPr>
        <w:t>In connection with the proposed transaction, EQT intends to file with the U.S. Securities and Exchange Commission (the SEC) a registration statement on Form S-4 (the registration statement) that will include a joint proxy statement of EQT and Range and that will</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also constitute a prospectus of EQT (the joint proxy statement/prospectus). EQT and Range also intend to file other relevant documents regarding the proposed transaction with the SEC. This new release is not a substitute for the joint proxy statement/prospectus or the registration statement. BEFORE MAKING ANY VOTING OR INVESTMENT DECISION, INVESTORS AND SECURITY HOLDERS OF EQT AND</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RANGE ARE URGED TO READ THE REGISTRATION STATEMENT, THE JOINT PROXY STATEMENT/PROSPECTUS AND ALL OTHER RELEVANT DOCUMENTS FILED OR THAT MAY BE FILED WITH THE SEC IN CONNECTION WITH THE PROPOSED TRANSACTION, AS WELL AS ANY</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statement/prospectus will be mailed to the shareholders of EQT and the shareholders of Range. Investors and security holders will be able to obtain free copies of the registration statement and joint proxy statement/prospectus and other relevant documents filed or that</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will be filed with the SEC by EQT or Range through the website maintained by the SEC at www.sec.gov. Copies of the documents filed with the SEC by EQT may be obtained free of charge on EQT’s website at ir.eqt.com. Copies of the documents filed with the SEC by Range may be obtained free of charge on Range’s website at ir.rangeresources.com. The information included on, or accessible through,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EQT’s or Range’s website is not incorporated by reference into this news release.</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Participants in the Solicitation</w:t>
      </w:r>
    </w:p>
    <w:p>
      <w:pPr>
        <w:spacing w:after="0"/>
        <w:rPr>
          <w:sz w:val="20"/>
          <w:szCs w:val="20"/>
          <w:color w:val="auto"/>
        </w:rPr>
      </w:pPr>
      <w:r>
        <w:rPr>
          <w:rFonts w:ascii="Verdana" w:cs="Verdana" w:eastAsia="Verdana" w:hAnsi="Verdana"/>
          <w:sz w:val="16"/>
          <w:szCs w:val="16"/>
          <w:color w:val="auto"/>
        </w:rPr>
        <w:t>EQT and Range and their respective directors, executive officers and other members of management and employees may be deemed to</w:t>
      </w:r>
    </w:p>
    <w:p>
      <w:pPr>
        <w:spacing w:after="0" w:line="8"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the SEC on February 18, 2026 (and which is available at https://www.sec.gov/ix? doc=/Archives/edgar/data/0000033213/000003321326000018/eqt-20251231.htm) and its Definitive Proxy Statement on Schedule 14A</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that was filed with the SEC on February 26, 2026 (and which is available at https://www.sec.gov/ix? doc=/Archives/edgar/data/0000033213/000110465926020027/tm2613831_def14a.htm). To the extent such person’s ownership of EQT’s securities has changed since the filing of such proxy statement, such changes have been or will be reflected on Statements of</w:t>
      </w:r>
    </w:p>
    <w:p>
      <w:pPr>
        <w:spacing w:after="0" w:line="2"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doc=/Archives/edgar/data/0000315852/000119312526067292/rrc-20251231.htm) and its Definitive Proxy Statement on Schedule 14A that was filed with the SEC on March 31, 2026 (and which is available at https://www.sec.gov/ix?</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doc=/Archives/edgar/data/0000033213/000110465926020027/tm261383-1_def14a.htm).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w:t>
      </w:r>
    </w:p>
    <w:p>
      <w:pPr>
        <w:spacing w:after="0" w:line="2" w:lineRule="exact"/>
        <w:rPr>
          <w:sz w:val="20"/>
          <w:szCs w:val="20"/>
          <w:color w:val="auto"/>
        </w:rPr>
      </w:pPr>
    </w:p>
    <w:p>
      <w:pPr>
        <w:jc w:val="both"/>
        <w:ind w:right="20"/>
        <w:spacing w:after="0" w:line="253" w:lineRule="auto"/>
        <w:rPr>
          <w:sz w:val="20"/>
          <w:szCs w:val="20"/>
          <w:color w:val="auto"/>
        </w:rPr>
      </w:pPr>
      <w:r>
        <w:rPr>
          <w:rFonts w:ascii="Verdana" w:cs="Verdana" w:eastAsia="Verdana" w:hAnsi="Verdana"/>
          <w:sz w:val="16"/>
          <w:szCs w:val="16"/>
          <w:color w:val="auto"/>
        </w:rPr>
        <w:t>persons who may be deemed participants in the proposed transaction may be obtained by reading the joint proxy statement/prospectus and other relevant materials that will be filed with the SEC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13</w:t>
      </w:r>
    </w:p>
    <w:p>
      <w:pPr>
        <w:sectPr>
          <w:pgSz w:w="11900" w:h="16838" w:orient="portrait"/>
          <w:cols w:equalWidth="0" w:num="1">
            <w:col w:w="11240"/>
          </w:cols>
          <w:pgMar w:left="320" w:top="1421" w:right="339" w:bottom="1440" w:gutter="0" w:footer="0" w:header="0"/>
        </w:sectPr>
      </w:pPr>
    </w:p>
    <w:bookmarkStart w:id="16" w:name="page17"/>
    <w:bookmarkEnd w:id="16"/>
    <w:p>
      <w:pPr>
        <w:jc w:val="both"/>
        <w:spacing w:after="0" w:line="253" w:lineRule="auto"/>
        <w:rPr>
          <w:sz w:val="20"/>
          <w:szCs w:val="20"/>
          <w:color w:val="auto"/>
        </w:rPr>
      </w:pPr>
      <w:r>
        <w:rPr>
          <w:rFonts w:ascii="Verdana" w:cs="Verdana" w:eastAsia="Verdana" w:hAnsi="Verdana"/>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t>regarding the proposed transaction when such documents become available. You may obtain free copies of these documents as described in the preceding paragraph.</w:t>
      </w:r>
    </w:p>
    <w:p>
      <w:pPr>
        <w:spacing w:after="0" w:line="22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 Offer or Solicitation</w:t>
      </w:r>
    </w:p>
    <w:p>
      <w:pPr>
        <w:jc w:val="both"/>
        <w:spacing w:after="0" w:line="241" w:lineRule="auto"/>
        <w:rPr>
          <w:sz w:val="20"/>
          <w:szCs w:val="20"/>
          <w:color w:val="auto"/>
        </w:rPr>
      </w:pPr>
      <w:r>
        <w:rPr>
          <w:rFonts w:ascii="Verdana" w:cs="Verdana" w:eastAsia="Verdana" w:hAnsi="Verdana"/>
          <w:sz w:val="16"/>
          <w:szCs w:val="16"/>
          <w:color w:val="auto"/>
        </w:rPr>
        <w:t>This news release relates to the proposed transaction. This news release is for informational purposes only and is not intended to and shall not constitute an offer to buy, sell or exchange, or the solicitation of an offer to buy, sell or exchange, any securities or a solicitation</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of any vote or approval, in any jurisdiction, pursuant to the proposed transaction or otherwise, nor shall there be any sale, issuance, exchange or transfer of the securities referred to in this news release in any jurisdiction in contravention of applicable law. No offer of securities shall be made except by means of a prospectus meeting the requirements of Section 10 of the Securities Act of 1933, as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amended.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14</w:t>
      </w:r>
    </w:p>
    <w:p>
      <w:pPr>
        <w:sectPr>
          <w:pgSz w:w="11900" w:h="16838" w:orient="portrait"/>
          <w:cols w:equalWidth="0" w:num="1">
            <w:col w:w="11240"/>
          </w:cols>
          <w:pgMar w:left="320" w:top="1421" w:right="339" w:bottom="1440" w:gutter="0" w:footer="0" w:header="0"/>
        </w:sectPr>
      </w:pPr>
    </w:p>
    <w:bookmarkStart w:id="17" w:name="page18"/>
    <w:bookmarkEnd w:id="1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r>
    </w:p>
    <w:p>
      <w:pPr>
        <w:jc w:val="center"/>
        <w:ind w:right="20"/>
        <w:spacing w:after="0"/>
        <w:rPr>
          <w:sz w:val="20"/>
          <w:szCs w:val="20"/>
          <w:color w:val="auto"/>
        </w:rPr>
      </w:pPr>
      <w:r>
        <w:rPr>
          <w:rFonts w:ascii="Verdana" w:cs="Verdana" w:eastAsia="Verdana" w:hAnsi="Verdana"/>
          <w:sz w:val="18"/>
          <w:szCs w:val="18"/>
          <w:b w:val="1"/>
          <w:bCs w:val="1"/>
          <w:color w:val="auto"/>
        </w:rPr>
        <w:t>EQT CORPORATION AND SUBSIDIARIES</w:t>
      </w:r>
    </w:p>
    <w:p>
      <w:pPr>
        <w:spacing w:after="0" w:line="11"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b w:val="1"/>
          <w:bCs w:val="1"/>
          <w:color w:val="auto"/>
        </w:rPr>
        <w:t>STATEMENTS OF CONDENSED CONSOLIDATED OPERATIONS (UNAUDITED)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Verdana" w:cs="Verdana" w:eastAsia="Verdana" w:hAnsi="Verdana"/>
                <w:sz w:val="16"/>
                <w:szCs w:val="16"/>
                <w:b w:val="1"/>
                <w:bCs w:val="1"/>
                <w:color w:val="auto"/>
              </w:rPr>
              <w:t>Three Months Ended</w:t>
            </w:r>
          </w:p>
        </w:tc>
        <w:tc>
          <w:tcPr>
            <w:tcW w:w="340" w:type="dxa"/>
            <w:vAlign w:val="bottom"/>
          </w:tcPr>
          <w:p>
            <w:pPr>
              <w:spacing w:after="0"/>
              <w:rPr>
                <w:sz w:val="16"/>
                <w:szCs w:val="16"/>
                <w:color w:val="auto"/>
              </w:rPr>
            </w:pPr>
          </w:p>
        </w:tc>
        <w:tc>
          <w:tcPr>
            <w:tcW w:w="2900" w:type="dxa"/>
            <w:vAlign w:val="bottom"/>
            <w:gridSpan w:val="4"/>
          </w:tcPr>
          <w:p>
            <w:pPr>
              <w:jc w:val="right"/>
              <w:ind w:right="699"/>
              <w:spacing w:after="0"/>
              <w:rPr>
                <w:sz w:val="20"/>
                <w:szCs w:val="20"/>
                <w:color w:val="auto"/>
              </w:rPr>
            </w:pPr>
            <w:r>
              <w:rPr>
                <w:rFonts w:ascii="Verdana" w:cs="Verdana" w:eastAsia="Verdana" w:hAnsi="Verdana"/>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Verdana" w:cs="Verdana" w:eastAsia="Verdana" w:hAnsi="Verdana"/>
                <w:sz w:val="16"/>
                <w:szCs w:val="16"/>
                <w:b w:val="1"/>
                <w:bCs w:val="1"/>
                <w:color w:val="auto"/>
              </w:rPr>
              <w:t>September 30,</w:t>
            </w:r>
          </w:p>
        </w:tc>
        <w:tc>
          <w:tcPr>
            <w:tcW w:w="340" w:type="dxa"/>
            <w:vAlign w:val="bottom"/>
          </w:tcPr>
          <w:p>
            <w:pPr>
              <w:spacing w:after="0"/>
              <w:rPr>
                <w:sz w:val="18"/>
                <w:szCs w:val="18"/>
                <w:color w:val="auto"/>
              </w:rPr>
            </w:pPr>
          </w:p>
        </w:tc>
        <w:tc>
          <w:tcPr>
            <w:tcW w:w="2900" w:type="dxa"/>
            <w:vAlign w:val="bottom"/>
            <w:gridSpan w:val="4"/>
          </w:tcPr>
          <w:p>
            <w:pPr>
              <w:jc w:val="right"/>
              <w:ind w:right="839"/>
              <w:spacing w:after="0"/>
              <w:rPr>
                <w:sz w:val="20"/>
                <w:szCs w:val="20"/>
                <w:color w:val="auto"/>
              </w:rPr>
            </w:pPr>
            <w:r>
              <w:rPr>
                <w:rFonts w:ascii="Verdana" w:cs="Verdana" w:eastAsia="Verdana" w:hAnsi="Verdana"/>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6"/>
                <w:szCs w:val="16"/>
                <w:b w:val="1"/>
                <w:bCs w:val="1"/>
                <w:color w:val="auto"/>
              </w:rPr>
              <w:t>2025</w:t>
            </w: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9"/>
          </w:tcPr>
          <w:p>
            <w:pPr>
              <w:jc w:val="right"/>
              <w:ind w:right="139"/>
              <w:spacing w:after="0"/>
              <w:rPr>
                <w:sz w:val="20"/>
                <w:szCs w:val="20"/>
                <w:color w:val="auto"/>
              </w:rPr>
            </w:pPr>
            <w:r>
              <w:rPr>
                <w:rFonts w:ascii="Verdana" w:cs="Verdana" w:eastAsia="Verdana" w:hAnsi="Verdana"/>
                <w:sz w:val="16"/>
                <w:szCs w:val="16"/>
                <w:b w:val="1"/>
                <w:bCs w:val="1"/>
                <w:color w:val="auto"/>
              </w:rPr>
              <w:t>(Thousands, except per share amounts)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Operating revenues: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Sales of natural gas, natural gas liquids and oil</w:t>
            </w: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1,507,808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1,677,617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6,557,757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Pr>
          <w:p>
            <w:pPr>
              <w:jc w:val="right"/>
              <w:spacing w:after="0"/>
              <w:rPr>
                <w:sz w:val="20"/>
                <w:szCs w:val="20"/>
                <w:color w:val="auto"/>
              </w:rPr>
            </w:pPr>
            <w:r>
              <w:rPr>
                <w:rFonts w:ascii="Verdana" w:cs="Verdana" w:eastAsia="Verdana" w:hAnsi="Verdana"/>
                <w:sz w:val="16"/>
                <w:szCs w:val="16"/>
                <w:color w:val="auto"/>
              </w:rPr>
              <w:t>5,622,843</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Gain (loss) on derivatives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100,287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135,784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(93,342)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176,829</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Pipeline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162,299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145,170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494,655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456,468</w:t>
            </w:r>
          </w:p>
        </w:tc>
        <w:tc>
          <w:tcPr>
            <w:tcW w:w="0" w:type="dxa"/>
            <w:vAlign w:val="bottom"/>
          </w:tcPr>
          <w:p>
            <w:pPr>
              <w:spacing w:after="0"/>
              <w:rPr>
                <w:sz w:val="1"/>
                <w:szCs w:val="1"/>
                <w:color w:val="auto"/>
              </w:rPr>
            </w:pPr>
          </w:p>
        </w:tc>
      </w:tr>
      <w:tr>
        <w:trPr>
          <w:trHeight w:val="210"/>
        </w:trPr>
        <w:tc>
          <w:tcPr>
            <w:tcW w:w="4660" w:type="dxa"/>
            <w:vAlign w:val="bottom"/>
          </w:tcPr>
          <w:p>
            <w:pPr>
              <w:ind w:left="340"/>
              <w:spacing w:after="0"/>
              <w:rPr>
                <w:sz w:val="20"/>
                <w:szCs w:val="20"/>
                <w:color w:val="auto"/>
              </w:rPr>
            </w:pPr>
            <w:r>
              <w:rPr>
                <w:rFonts w:ascii="Verdana" w:cs="Verdana" w:eastAsia="Verdana" w:hAnsi="Verdana"/>
                <w:sz w:val="16"/>
                <w:szCs w:val="16"/>
                <w:color w:val="auto"/>
              </w:rPr>
              <w:t>Total operating revenues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1,770,394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1,958,571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6,959,070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6,256,140</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Verdana" w:cs="Verdana" w:eastAsia="Verdana" w:hAnsi="Verdana"/>
                <w:sz w:val="16"/>
                <w:szCs w:val="16"/>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Transportation and processing</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370,791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377,133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1,156,147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1,144,458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Production</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92,079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98,302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307,573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278,258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Operating and maintenance</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60,376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60,302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175,464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161,582</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Purchased commodities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8,183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8,183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Selling, general and administrative</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116,083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98,720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318,272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271,770</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Depreciation, depletion and amortization</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639,783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688,382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1,984,167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1,932,628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(Gain) loss on sale/exchange of long-lived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(2,893)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(5,623)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(2,402)</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Impairment and expiration of leases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3,476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16,062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9,391</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Verdana" w:cs="Verdana" w:eastAsia="Verdana" w:hAnsi="Verdana"/>
                <w:sz w:val="16"/>
                <w:szCs w:val="16"/>
                <w:color w:val="auto"/>
              </w:rPr>
              <w:t>Other operating expenses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20,524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34,669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103,084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226,957</w:t>
            </w:r>
          </w:p>
        </w:tc>
        <w:tc>
          <w:tcPr>
            <w:tcW w:w="0" w:type="dxa"/>
            <w:vAlign w:val="bottom"/>
          </w:tcPr>
          <w:p>
            <w:pPr>
              <w:spacing w:after="0"/>
              <w:rPr>
                <w:sz w:val="1"/>
                <w:szCs w:val="1"/>
                <w:color w:val="auto"/>
              </w:rPr>
            </w:pPr>
          </w:p>
        </w:tc>
      </w:tr>
      <w:tr>
        <w:trPr>
          <w:trHeight w:val="210"/>
        </w:trPr>
        <w:tc>
          <w:tcPr>
            <w:tcW w:w="4660" w:type="dxa"/>
            <w:vAlign w:val="bottom"/>
          </w:tcPr>
          <w:p>
            <w:pPr>
              <w:ind w:left="340"/>
              <w:spacing w:after="0"/>
              <w:rPr>
                <w:sz w:val="20"/>
                <w:szCs w:val="20"/>
                <w:color w:val="auto"/>
              </w:rPr>
            </w:pPr>
            <w:r>
              <w:rPr>
                <w:rFonts w:ascii="Verdana" w:cs="Verdana" w:eastAsia="Verdana" w:hAnsi="Verdana"/>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1,310,933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1,355,361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4,069,611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4,022,642</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Verdana" w:cs="Verdana" w:eastAsia="Verdana" w:hAnsi="Verdana"/>
                <w:sz w:val="16"/>
                <w:szCs w:val="16"/>
                <w:color w:val="auto"/>
              </w:rPr>
              <w:t>Operating income</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459,461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603,210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2,889,459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2,233,498</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Verdana" w:cs="Verdana" w:eastAsia="Verdana" w:hAnsi="Verdana"/>
                <w:sz w:val="16"/>
                <w:szCs w:val="16"/>
                <w:color w:val="auto"/>
              </w:rPr>
              <w:t>Income from investments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(43,688)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(44,638)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(165,929)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(138,274)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Other income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6"/>
                <w:szCs w:val="16"/>
                <w:color w:val="auto"/>
              </w:rPr>
              <w:t>(4,302)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(3,711)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Loss on debt extinguishment</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1,909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29,887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19,478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Verdana" w:cs="Verdana" w:eastAsia="Verdana" w:hAnsi="Verdana"/>
                <w:sz w:val="16"/>
                <w:szCs w:val="16"/>
                <w:color w:val="auto"/>
              </w:rPr>
              <w:t>Interest expense, net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72,152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109,929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244,381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333,166</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Verdana" w:cs="Verdana" w:eastAsia="Verdana" w:hAnsi="Verdana"/>
                <w:sz w:val="16"/>
                <w:szCs w:val="16"/>
                <w:color w:val="auto"/>
              </w:rPr>
              <w:t>Income before income taxes</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431,759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536,482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2,785,422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2,022,839</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Verdana" w:cs="Verdana" w:eastAsia="Verdana" w:hAnsi="Verdana"/>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86,682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129,266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604,967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443,549</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Verdana" w:cs="Verdana" w:eastAsia="Verdana" w:hAnsi="Verdana"/>
                <w:sz w:val="16"/>
                <w:szCs w:val="16"/>
                <w:color w:val="auto"/>
              </w:rPr>
              <w:t>Net income</w:t>
            </w: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345,077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407,216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Verdana" w:cs="Verdana" w:eastAsia="Verdana" w:hAnsi="Verdana"/>
                <w:sz w:val="16"/>
                <w:szCs w:val="16"/>
                <w:color w:val="auto"/>
              </w:rPr>
              <w:t>2,180,455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6"/>
                <w:szCs w:val="16"/>
                <w:color w:val="auto"/>
              </w:rPr>
              <w:t>1,579,290</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Verdana" w:cs="Verdana" w:eastAsia="Verdana" w:hAnsi="Verdana"/>
                <w:sz w:val="16"/>
                <w:szCs w:val="16"/>
                <w:color w:val="auto"/>
              </w:rPr>
              <w:t>Less: Net income attributable to noncontrolling interests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66,386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71,354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203,110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217,142</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Verdana" w:cs="Verdana" w:eastAsia="Verdana" w:hAnsi="Verdana"/>
                <w:sz w:val="16"/>
                <w:szCs w:val="16"/>
                <w:color w:val="auto"/>
              </w:rPr>
              <w:t>Net income attributable to EQT Corporation</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278,691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335,862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1,977,345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1,362,148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Verdana" w:cs="Verdana" w:eastAsia="Verdana" w:hAnsi="Verdana"/>
                <w:sz w:val="16"/>
                <w:szCs w:val="16"/>
                <w:color w:val="auto"/>
              </w:rPr>
              <w:t>Income per share of common stock attributable to EQT</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660" w:type="dxa"/>
            <w:vAlign w:val="bottom"/>
          </w:tcPr>
          <w:p>
            <w:pPr>
              <w:spacing w:after="0"/>
              <w:rPr>
                <w:sz w:val="20"/>
                <w:szCs w:val="20"/>
                <w:color w:val="auto"/>
              </w:rPr>
            </w:pPr>
            <w:r>
              <w:rPr>
                <w:rFonts w:ascii="Verdana" w:cs="Verdana" w:eastAsia="Verdana" w:hAnsi="Verdana"/>
                <w:sz w:val="16"/>
                <w:szCs w:val="16"/>
                <w:color w:val="auto"/>
              </w:rPr>
              <w:t>Corporation: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Verdana" w:cs="Verdana" w:eastAsia="Verdana" w:hAnsi="Verdana"/>
                <w:sz w:val="16"/>
                <w:szCs w:val="16"/>
                <w:color w:val="auto"/>
              </w:rPr>
              <w:t>Basic:</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20"/>
              <w:spacing w:after="0"/>
              <w:rPr>
                <w:sz w:val="20"/>
                <w:szCs w:val="20"/>
                <w:color w:val="auto"/>
              </w:rPr>
            </w:pPr>
            <w:r>
              <w:rPr>
                <w:rFonts w:ascii="Verdana" w:cs="Verdana" w:eastAsia="Verdana" w:hAnsi="Verdana"/>
                <w:sz w:val="16"/>
                <w:szCs w:val="16"/>
                <w:color w:val="auto"/>
              </w:rPr>
              <w:t>Weighted average common stock outstanding</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625,991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624,532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625,696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607,245</w:t>
            </w:r>
          </w:p>
        </w:tc>
        <w:tc>
          <w:tcPr>
            <w:tcW w:w="0" w:type="dxa"/>
            <w:vAlign w:val="bottom"/>
          </w:tcPr>
          <w:p>
            <w:pPr>
              <w:spacing w:after="0"/>
              <w:rPr>
                <w:sz w:val="1"/>
                <w:szCs w:val="1"/>
                <w:color w:val="auto"/>
              </w:rPr>
            </w:pPr>
          </w:p>
        </w:tc>
      </w:tr>
      <w:tr>
        <w:trPr>
          <w:trHeight w:val="213"/>
        </w:trPr>
        <w:tc>
          <w:tcPr>
            <w:tcW w:w="4660" w:type="dxa"/>
            <w:vAlign w:val="bottom"/>
          </w:tcPr>
          <w:p>
            <w:pPr>
              <w:ind w:left="120"/>
              <w:spacing w:after="0"/>
              <w:rPr>
                <w:sz w:val="20"/>
                <w:szCs w:val="20"/>
                <w:color w:val="auto"/>
              </w:rPr>
            </w:pPr>
            <w:r>
              <w:rPr>
                <w:rFonts w:ascii="Verdana" w:cs="Verdana" w:eastAsia="Verdana" w:hAnsi="Verdana"/>
                <w:sz w:val="16"/>
                <w:szCs w:val="16"/>
                <w:color w:val="auto"/>
              </w:rPr>
              <w:t>Net income attributable to EQT Corporation</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0.45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0.54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3.16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2.24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Verdana" w:cs="Verdana" w:eastAsia="Verdana" w:hAnsi="Verdana"/>
                <w:sz w:val="16"/>
                <w:szCs w:val="16"/>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20"/>
              <w:spacing w:after="0"/>
              <w:rPr>
                <w:sz w:val="20"/>
                <w:szCs w:val="20"/>
                <w:color w:val="auto"/>
              </w:rPr>
            </w:pPr>
            <w:r>
              <w:rPr>
                <w:rFonts w:ascii="Verdana" w:cs="Verdana" w:eastAsia="Verdana" w:hAnsi="Verdana"/>
                <w:sz w:val="16"/>
                <w:szCs w:val="16"/>
                <w:color w:val="auto"/>
              </w:rPr>
              <w:t>Weighted average common stock outstanding</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629,172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628,324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628,992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611,427</w:t>
            </w:r>
          </w:p>
        </w:tc>
        <w:tc>
          <w:tcPr>
            <w:tcW w:w="0" w:type="dxa"/>
            <w:vAlign w:val="bottom"/>
          </w:tcPr>
          <w:p>
            <w:pPr>
              <w:spacing w:after="0"/>
              <w:rPr>
                <w:sz w:val="1"/>
                <w:szCs w:val="1"/>
                <w:color w:val="auto"/>
              </w:rPr>
            </w:pPr>
          </w:p>
        </w:tc>
      </w:tr>
      <w:tr>
        <w:trPr>
          <w:trHeight w:val="213"/>
        </w:trPr>
        <w:tc>
          <w:tcPr>
            <w:tcW w:w="4660" w:type="dxa"/>
            <w:vAlign w:val="bottom"/>
          </w:tcPr>
          <w:p>
            <w:pPr>
              <w:ind w:left="120"/>
              <w:spacing w:after="0"/>
              <w:rPr>
                <w:sz w:val="20"/>
                <w:szCs w:val="20"/>
                <w:color w:val="auto"/>
              </w:rPr>
            </w:pPr>
            <w:r>
              <w:rPr>
                <w:rFonts w:ascii="Verdana" w:cs="Verdana" w:eastAsia="Verdana" w:hAnsi="Verdana"/>
                <w:sz w:val="16"/>
                <w:szCs w:val="16"/>
                <w:color w:val="auto"/>
              </w:rPr>
              <w:t>Net income attributable to EQT Corporation</w:t>
            </w: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0.44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0.53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6"/>
                <w:szCs w:val="16"/>
                <w:color w:val="auto"/>
              </w:rPr>
              <w:t>3.14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6"/>
                <w:szCs w:val="16"/>
                <w:color w:val="auto"/>
                <w:w w:val="97"/>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2.23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color w:val="auto"/>
        </w:rPr>
        <w:t>15</w:t>
      </w:r>
    </w:p>
    <w:p>
      <w:pPr>
        <w:sectPr>
          <w:pgSz w:w="11900" w:h="16838" w:orient="portrait"/>
          <w:cols w:equalWidth="0" w:num="1">
            <w:col w:w="11220"/>
          </w:cols>
          <w:pgMar w:left="340" w:top="1440" w:right="339" w:bottom="1440" w:gutter="0" w:footer="0" w:header="0"/>
        </w:sectPr>
      </w:pPr>
    </w:p>
    <w:bookmarkStart w:id="18" w:name="page19"/>
    <w:bookmarkEnd w:id="1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r>
    </w:p>
    <w:p>
      <w:pPr>
        <w:jc w:val="center"/>
        <w:ind w:right="20"/>
        <w:spacing w:after="0"/>
        <w:rPr>
          <w:sz w:val="20"/>
          <w:szCs w:val="20"/>
          <w:color w:val="auto"/>
        </w:rPr>
      </w:pPr>
      <w:r>
        <w:rPr>
          <w:rFonts w:ascii="Verdana" w:cs="Verdana" w:eastAsia="Verdana" w:hAnsi="Verdana"/>
          <w:sz w:val="18"/>
          <w:szCs w:val="18"/>
          <w:b w:val="1"/>
          <w:bCs w:val="1"/>
          <w:color w:val="auto"/>
        </w:rPr>
        <w:t>EQT CORPORATION AND SUBSIDIARIES</w:t>
      </w:r>
    </w:p>
    <w:p>
      <w:pPr>
        <w:spacing w:after="0" w:line="11"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b w:val="1"/>
          <w:bCs w:val="1"/>
          <w:color w:val="auto"/>
        </w:rPr>
        <w:t>CONDENSED CONSOLIDATED BALANCE SHEETS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60" w:type="dxa"/>
            <w:vAlign w:val="bottom"/>
          </w:tcPr>
          <w:p>
            <w:pPr>
              <w:spacing w:after="0"/>
              <w:rPr>
                <w:sz w:val="18"/>
                <w:szCs w:val="18"/>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Verdana" w:cs="Verdana" w:eastAsia="Verdana" w:hAnsi="Verdana"/>
                <w:sz w:val="16"/>
                <w:szCs w:val="16"/>
                <w:b w:val="1"/>
                <w:bCs w:val="1"/>
                <w:color w:val="auto"/>
              </w:rPr>
              <w:t>September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6"/>
                <w:szCs w:val="16"/>
                <w:b w:val="1"/>
                <w:bCs w:val="1"/>
                <w:color w:val="auto"/>
              </w:rPr>
              <w:t>December 31, 2025</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gridSpan w:val="4"/>
          </w:tcPr>
          <w:p>
            <w:pPr>
              <w:jc w:val="right"/>
              <w:ind w:right="1579"/>
              <w:spacing w:after="0"/>
              <w:rPr>
                <w:sz w:val="20"/>
                <w:szCs w:val="20"/>
                <w:color w:val="auto"/>
              </w:rPr>
            </w:pPr>
            <w:r>
              <w:rPr>
                <w:rFonts w:ascii="Verdana" w:cs="Verdana" w:eastAsia="Verdana" w:hAnsi="Verdana"/>
                <w:sz w:val="16"/>
                <w:szCs w:val="16"/>
                <w:b w:val="1"/>
                <w:bCs w:val="1"/>
                <w:color w:val="auto"/>
              </w:rPr>
              <w:t>(Thousands)</w:t>
            </w:r>
          </w:p>
        </w:tc>
        <w:tc>
          <w:tcPr>
            <w:tcW w:w="0" w:type="dxa"/>
            <w:vAlign w:val="bottom"/>
          </w:tcPr>
          <w:p>
            <w:pPr>
              <w:spacing w:after="0"/>
              <w:rPr>
                <w:sz w:val="1"/>
                <w:szCs w:val="1"/>
                <w:color w:val="auto"/>
              </w:rPr>
            </w:pPr>
          </w:p>
        </w:tc>
      </w:tr>
      <w:tr>
        <w:trPr>
          <w:trHeight w:val="216"/>
        </w:trPr>
        <w:tc>
          <w:tcPr>
            <w:tcW w:w="6760" w:type="dxa"/>
            <w:vAlign w:val="bottom"/>
          </w:tcPr>
          <w:p>
            <w:pPr>
              <w:ind w:left="340"/>
              <w:spacing w:after="0"/>
              <w:rPr>
                <w:sz w:val="20"/>
                <w:szCs w:val="20"/>
                <w:color w:val="auto"/>
              </w:rPr>
            </w:pPr>
            <w:r>
              <w:rPr>
                <w:rFonts w:ascii="Verdana" w:cs="Verdana" w:eastAsia="Verdana" w:hAnsi="Verdana"/>
                <w:sz w:val="16"/>
                <w:szCs w:val="16"/>
                <w:b w:val="1"/>
                <w:bCs w:val="1"/>
                <w:color w:val="auto"/>
              </w:rPr>
              <w:t>ASSETS</w:t>
            </w: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Current assets:</w:t>
            </w: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Cash and cash equivalents</w:t>
            </w:r>
          </w:p>
        </w:tc>
        <w:tc>
          <w:tcPr>
            <w:tcW w:w="560" w:type="dxa"/>
            <w:vAlign w:val="bottom"/>
          </w:tcPr>
          <w:p>
            <w:pPr>
              <w:jc w:val="right"/>
              <w:ind w:right="359"/>
              <w:spacing w:after="0"/>
              <w:rPr>
                <w:sz w:val="20"/>
                <w:szCs w:val="20"/>
                <w:color w:val="auto"/>
              </w:rPr>
            </w:pPr>
            <w:r>
              <w:rPr>
                <w:rFonts w:ascii="Verdana" w:cs="Verdana" w:eastAsia="Verdana" w:hAnsi="Verdana"/>
                <w:sz w:val="16"/>
                <w:szCs w:val="16"/>
                <w:color w:val="auto"/>
                <w:w w:val="97"/>
              </w:rPr>
              <w:t>$</w:t>
            </w:r>
          </w:p>
        </w:tc>
        <w:tc>
          <w:tcPr>
            <w:tcW w:w="1460" w:type="dxa"/>
            <w:vAlign w:val="bottom"/>
          </w:tcPr>
          <w:p>
            <w:pPr>
              <w:jc w:val="right"/>
              <w:spacing w:after="0"/>
              <w:rPr>
                <w:sz w:val="20"/>
                <w:szCs w:val="20"/>
                <w:color w:val="auto"/>
              </w:rPr>
            </w:pPr>
            <w:r>
              <w:rPr>
                <w:rFonts w:ascii="Verdana" w:cs="Verdana" w:eastAsia="Verdana" w:hAnsi="Verdana"/>
                <w:sz w:val="16"/>
                <w:szCs w:val="16"/>
                <w:color w:val="auto"/>
              </w:rPr>
              <w:t>78,715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2140" w:type="dxa"/>
            <w:vAlign w:val="bottom"/>
          </w:tcPr>
          <w:p>
            <w:pPr>
              <w:jc w:val="right"/>
              <w:spacing w:after="0"/>
              <w:rPr>
                <w:sz w:val="20"/>
                <w:szCs w:val="20"/>
                <w:color w:val="auto"/>
              </w:rPr>
            </w:pPr>
            <w:r>
              <w:rPr>
                <w:rFonts w:ascii="Verdana" w:cs="Verdana" w:eastAsia="Verdana" w:hAnsi="Verdana"/>
                <w:sz w:val="16"/>
                <w:szCs w:val="16"/>
                <w:color w:val="auto"/>
              </w:rPr>
              <w:t>110,795</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Accounts receivable (less allowance for credit losses: $5,830 and $3,088)</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725,938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1,457,959</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Derivative instruments, at fair value</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185,211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202,390</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Prepaid expenses and other</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120,636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124,007</w:t>
            </w:r>
          </w:p>
        </w:tc>
        <w:tc>
          <w:tcPr>
            <w:tcW w:w="0" w:type="dxa"/>
            <w:vAlign w:val="bottom"/>
          </w:tcPr>
          <w:p>
            <w:pPr>
              <w:spacing w:after="0"/>
              <w:rPr>
                <w:sz w:val="1"/>
                <w:szCs w:val="1"/>
                <w:color w:val="auto"/>
              </w:rPr>
            </w:pPr>
          </w:p>
        </w:tc>
      </w:tr>
      <w:tr>
        <w:trPr>
          <w:trHeight w:val="210"/>
        </w:trPr>
        <w:tc>
          <w:tcPr>
            <w:tcW w:w="6760" w:type="dxa"/>
            <w:vAlign w:val="bottom"/>
          </w:tcPr>
          <w:p>
            <w:pPr>
              <w:ind w:left="340"/>
              <w:spacing w:after="0"/>
              <w:rPr>
                <w:sz w:val="20"/>
                <w:szCs w:val="20"/>
                <w:color w:val="auto"/>
              </w:rPr>
            </w:pPr>
            <w:r>
              <w:rPr>
                <w:rFonts w:ascii="Verdana" w:cs="Verdana" w:eastAsia="Verdana" w:hAnsi="Verdana"/>
                <w:sz w:val="16"/>
                <w:szCs w:val="16"/>
                <w:color w:val="auto"/>
              </w:rPr>
              <w:t>Total current assets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1,110,500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1,895,151</w:t>
            </w:r>
          </w:p>
        </w:tc>
        <w:tc>
          <w:tcPr>
            <w:tcW w:w="0" w:type="dxa"/>
            <w:vAlign w:val="bottom"/>
          </w:tcPr>
          <w:p>
            <w:pPr>
              <w:spacing w:after="0"/>
              <w:rPr>
                <w:sz w:val="1"/>
                <w:szCs w:val="1"/>
                <w:color w:val="auto"/>
              </w:rPr>
            </w:pPr>
          </w:p>
        </w:tc>
      </w:tr>
      <w:tr>
        <w:trPr>
          <w:trHeight w:val="431"/>
        </w:trPr>
        <w:tc>
          <w:tcPr>
            <w:tcW w:w="6760" w:type="dxa"/>
            <w:vAlign w:val="bottom"/>
          </w:tcPr>
          <w:p>
            <w:pPr>
              <w:spacing w:after="0"/>
              <w:rPr>
                <w:sz w:val="20"/>
                <w:szCs w:val="20"/>
                <w:color w:val="auto"/>
              </w:rPr>
            </w:pPr>
            <w:r>
              <w:rPr>
                <w:rFonts w:ascii="Verdana" w:cs="Verdana" w:eastAsia="Verdana" w:hAnsi="Verdana"/>
                <w:sz w:val="16"/>
                <w:szCs w:val="16"/>
                <w:color w:val="auto"/>
              </w:rPr>
              <w:t>Property, plant and equipment</w:t>
            </w:r>
          </w:p>
        </w:tc>
        <w:tc>
          <w:tcPr>
            <w:tcW w:w="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50,113,651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48,472,497</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Less: Accumulated depreciation and depletion</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16,446,632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14,914,689</w:t>
            </w:r>
          </w:p>
        </w:tc>
        <w:tc>
          <w:tcPr>
            <w:tcW w:w="0" w:type="dxa"/>
            <w:vAlign w:val="bottom"/>
          </w:tcPr>
          <w:p>
            <w:pPr>
              <w:spacing w:after="0"/>
              <w:rPr>
                <w:sz w:val="1"/>
                <w:szCs w:val="1"/>
                <w:color w:val="auto"/>
              </w:rPr>
            </w:pPr>
          </w:p>
        </w:tc>
      </w:tr>
      <w:tr>
        <w:trPr>
          <w:trHeight w:val="210"/>
        </w:trPr>
        <w:tc>
          <w:tcPr>
            <w:tcW w:w="6760" w:type="dxa"/>
            <w:vAlign w:val="bottom"/>
          </w:tcPr>
          <w:p>
            <w:pPr>
              <w:ind w:left="320"/>
              <w:spacing w:after="0"/>
              <w:rPr>
                <w:sz w:val="20"/>
                <w:szCs w:val="20"/>
                <w:color w:val="auto"/>
              </w:rPr>
            </w:pPr>
            <w:r>
              <w:rPr>
                <w:rFonts w:ascii="Verdana" w:cs="Verdana" w:eastAsia="Verdana" w:hAnsi="Verdana"/>
                <w:sz w:val="16"/>
                <w:szCs w:val="16"/>
                <w:color w:val="auto"/>
              </w:rPr>
              <w:t>Net property, plant and equipment</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33,667,019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33,557,808</w:t>
            </w:r>
          </w:p>
        </w:tc>
        <w:tc>
          <w:tcPr>
            <w:tcW w:w="0" w:type="dxa"/>
            <w:vAlign w:val="bottom"/>
          </w:tcPr>
          <w:p>
            <w:pPr>
              <w:spacing w:after="0"/>
              <w:rPr>
                <w:sz w:val="1"/>
                <w:szCs w:val="1"/>
                <w:color w:val="auto"/>
              </w:rPr>
            </w:pPr>
          </w:p>
        </w:tc>
      </w:tr>
      <w:tr>
        <w:trPr>
          <w:trHeight w:val="431"/>
        </w:trPr>
        <w:tc>
          <w:tcPr>
            <w:tcW w:w="6760" w:type="dxa"/>
            <w:vAlign w:val="bottom"/>
          </w:tcPr>
          <w:p>
            <w:pPr>
              <w:spacing w:after="0"/>
              <w:rPr>
                <w:sz w:val="20"/>
                <w:szCs w:val="20"/>
                <w:color w:val="auto"/>
              </w:rPr>
            </w:pPr>
            <w:r>
              <w:rPr>
                <w:rFonts w:ascii="Verdana" w:cs="Verdana" w:eastAsia="Verdana" w:hAnsi="Verdana"/>
                <w:sz w:val="16"/>
                <w:szCs w:val="16"/>
                <w:color w:val="auto"/>
              </w:rPr>
              <w:t>Investments in unconsolidated entities</w:t>
            </w:r>
          </w:p>
        </w:tc>
        <w:tc>
          <w:tcPr>
            <w:tcW w:w="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3,960,861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3,630,577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Net intangible assets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189,407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200,486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Goodwill</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2,062,462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2,062,462</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Verdana" w:cs="Verdana" w:eastAsia="Verdana" w:hAnsi="Verdana"/>
                <w:sz w:val="16"/>
                <w:szCs w:val="16"/>
                <w:color w:val="auto"/>
              </w:rPr>
              <w:t>Other assets</w:t>
            </w: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451,610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446,390</w:t>
            </w:r>
          </w:p>
        </w:tc>
        <w:tc>
          <w:tcPr>
            <w:tcW w:w="0" w:type="dxa"/>
            <w:vAlign w:val="bottom"/>
          </w:tcPr>
          <w:p>
            <w:pPr>
              <w:spacing w:after="0"/>
              <w:rPr>
                <w:sz w:val="1"/>
                <w:szCs w:val="1"/>
                <w:color w:val="auto"/>
              </w:rPr>
            </w:pPr>
          </w:p>
        </w:tc>
      </w:tr>
      <w:tr>
        <w:trPr>
          <w:trHeight w:val="213"/>
        </w:trPr>
        <w:tc>
          <w:tcPr>
            <w:tcW w:w="6760" w:type="dxa"/>
            <w:vAlign w:val="bottom"/>
          </w:tcPr>
          <w:p>
            <w:pPr>
              <w:ind w:left="540"/>
              <w:spacing w:after="0"/>
              <w:rPr>
                <w:sz w:val="20"/>
                <w:szCs w:val="20"/>
                <w:color w:val="auto"/>
              </w:rPr>
            </w:pPr>
            <w:r>
              <w:rPr>
                <w:rFonts w:ascii="Verdana" w:cs="Verdana" w:eastAsia="Verdana" w:hAnsi="Verdana"/>
                <w:sz w:val="16"/>
                <w:szCs w:val="16"/>
                <w:color w:val="auto"/>
              </w:rPr>
              <w:t>Total assets</w:t>
            </w:r>
          </w:p>
        </w:tc>
        <w:tc>
          <w:tcPr>
            <w:tcW w:w="560" w:type="dxa"/>
            <w:vAlign w:val="bottom"/>
            <w:tcBorders>
              <w:bottom w:val="single" w:sz="8" w:color="auto"/>
            </w:tcBorders>
          </w:tcPr>
          <w:p>
            <w:pPr>
              <w:jc w:val="right"/>
              <w:ind w:right="359"/>
              <w:spacing w:after="0"/>
              <w:rPr>
                <w:sz w:val="20"/>
                <w:szCs w:val="20"/>
                <w:color w:val="auto"/>
              </w:rPr>
            </w:pPr>
            <w:r>
              <w:rPr>
                <w:rFonts w:ascii="Verdana" w:cs="Verdana" w:eastAsia="Verdana" w:hAnsi="Verdana"/>
                <w:sz w:val="16"/>
                <w:szCs w:val="16"/>
                <w:color w:val="auto"/>
                <w:w w:val="97"/>
              </w:rPr>
              <w:t>$</w:t>
            </w: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41,441,859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w w:val="97"/>
              </w:rPr>
              <w:t>$</w:t>
            </w: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41,792,874</w:t>
            </w:r>
          </w:p>
        </w:tc>
        <w:tc>
          <w:tcPr>
            <w:tcW w:w="0" w:type="dxa"/>
            <w:vAlign w:val="bottom"/>
          </w:tcPr>
          <w:p>
            <w:pPr>
              <w:spacing w:after="0"/>
              <w:rPr>
                <w:sz w:val="1"/>
                <w:szCs w:val="1"/>
                <w:color w:val="auto"/>
              </w:rPr>
            </w:pPr>
          </w:p>
        </w:tc>
      </w:tr>
      <w:tr>
        <w:trPr>
          <w:trHeight w:val="21"/>
        </w:trPr>
        <w:tc>
          <w:tcPr>
            <w:tcW w:w="6760" w:type="dxa"/>
            <w:vAlign w:val="bottom"/>
            <w:vMerge w:val="restart"/>
          </w:tcPr>
          <w:p>
            <w:pPr>
              <w:ind w:left="340"/>
              <w:spacing w:after="0"/>
              <w:rPr>
                <w:sz w:val="20"/>
                <w:szCs w:val="20"/>
                <w:color w:val="auto"/>
              </w:rPr>
            </w:pPr>
            <w:r>
              <w:rPr>
                <w:rFonts w:ascii="Verdana" w:cs="Verdana" w:eastAsia="Verdana" w:hAnsi="Verdana"/>
                <w:sz w:val="16"/>
                <w:szCs w:val="16"/>
                <w:b w:val="1"/>
                <w:bCs w:val="1"/>
                <w:color w:val="auto"/>
              </w:rPr>
              <w:t>LIABILITIES AND EQUITY</w:t>
            </w: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6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Current liabilities:</w:t>
            </w: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Current portion of debt</w:t>
            </w:r>
          </w:p>
        </w:tc>
        <w:tc>
          <w:tcPr>
            <w:tcW w:w="560" w:type="dxa"/>
            <w:vAlign w:val="bottom"/>
          </w:tcPr>
          <w:p>
            <w:pPr>
              <w:jc w:val="right"/>
              <w:ind w:right="359"/>
              <w:spacing w:after="0"/>
              <w:rPr>
                <w:sz w:val="20"/>
                <w:szCs w:val="20"/>
                <w:color w:val="auto"/>
              </w:rPr>
            </w:pPr>
            <w:r>
              <w:rPr>
                <w:rFonts w:ascii="Verdana" w:cs="Verdana" w:eastAsia="Verdana" w:hAnsi="Verdana"/>
                <w:sz w:val="16"/>
                <w:szCs w:val="16"/>
                <w:color w:val="auto"/>
                <w:w w:val="97"/>
              </w:rPr>
              <w:t>$</w:t>
            </w:r>
          </w:p>
        </w:tc>
        <w:tc>
          <w:tcPr>
            <w:tcW w:w="1560" w:type="dxa"/>
            <w:vAlign w:val="bottom"/>
            <w:gridSpan w:val="2"/>
          </w:tcPr>
          <w:p>
            <w:pPr>
              <w:jc w:val="right"/>
              <w:ind w:right="180"/>
              <w:spacing w:after="0"/>
              <w:rPr>
                <w:sz w:val="20"/>
                <w:szCs w:val="20"/>
                <w:color w:val="auto"/>
              </w:rPr>
            </w:pPr>
            <w:r>
              <w:rPr>
                <w:rFonts w:ascii="Verdana" w:cs="Verdana" w:eastAsia="Verdana" w:hAnsi="Verdana"/>
                <w:sz w:val="16"/>
                <w:szCs w:val="16"/>
                <w:color w:val="auto"/>
              </w:rPr>
              <w:t>—</w:t>
            </w:r>
          </w:p>
        </w:tc>
        <w:tc>
          <w:tcPr>
            <w:tcW w:w="200" w:type="dxa"/>
            <w:vAlign w:val="bottom"/>
          </w:tcPr>
          <w:p>
            <w:pPr>
              <w:jc w:val="right"/>
              <w:spacing w:after="0"/>
              <w:rPr>
                <w:sz w:val="20"/>
                <w:szCs w:val="20"/>
                <w:color w:val="auto"/>
              </w:rPr>
            </w:pPr>
            <w:r>
              <w:rPr>
                <w:rFonts w:ascii="Verdana" w:cs="Verdana" w:eastAsia="Verdana" w:hAnsi="Verdana"/>
                <w:sz w:val="16"/>
                <w:szCs w:val="16"/>
                <w:color w:val="auto"/>
                <w:w w:val="97"/>
              </w:rPr>
              <w:t>$</w:t>
            </w:r>
          </w:p>
        </w:tc>
        <w:tc>
          <w:tcPr>
            <w:tcW w:w="2140" w:type="dxa"/>
            <w:vAlign w:val="bottom"/>
          </w:tcPr>
          <w:p>
            <w:pPr>
              <w:jc w:val="right"/>
              <w:spacing w:after="0"/>
              <w:rPr>
                <w:sz w:val="20"/>
                <w:szCs w:val="20"/>
                <w:color w:val="auto"/>
              </w:rPr>
            </w:pPr>
            <w:r>
              <w:rPr>
                <w:rFonts w:ascii="Verdana" w:cs="Verdana" w:eastAsia="Verdana" w:hAnsi="Verdana"/>
                <w:sz w:val="16"/>
                <w:szCs w:val="16"/>
                <w:color w:val="auto"/>
              </w:rPr>
              <w:t>507,119</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Accounts payable</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1,138,859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1,367,431</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Derivative instruments, at fair value</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62,860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137,299</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Accrued interest</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82,657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137,505</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Other current liabilities</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285,515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335,487</w:t>
            </w:r>
          </w:p>
        </w:tc>
        <w:tc>
          <w:tcPr>
            <w:tcW w:w="0" w:type="dxa"/>
            <w:vAlign w:val="bottom"/>
          </w:tcPr>
          <w:p>
            <w:pPr>
              <w:spacing w:after="0"/>
              <w:rPr>
                <w:sz w:val="1"/>
                <w:szCs w:val="1"/>
                <w:color w:val="auto"/>
              </w:rPr>
            </w:pPr>
          </w:p>
        </w:tc>
      </w:tr>
      <w:tr>
        <w:trPr>
          <w:trHeight w:val="210"/>
        </w:trPr>
        <w:tc>
          <w:tcPr>
            <w:tcW w:w="6760" w:type="dxa"/>
            <w:vAlign w:val="bottom"/>
          </w:tcPr>
          <w:p>
            <w:pPr>
              <w:ind w:left="340"/>
              <w:spacing w:after="0"/>
              <w:rPr>
                <w:sz w:val="20"/>
                <w:szCs w:val="20"/>
                <w:color w:val="auto"/>
              </w:rPr>
            </w:pPr>
            <w:r>
              <w:rPr>
                <w:rFonts w:ascii="Verdana" w:cs="Verdana" w:eastAsia="Verdana" w:hAnsi="Verdana"/>
                <w:sz w:val="16"/>
                <w:szCs w:val="16"/>
                <w:color w:val="auto"/>
              </w:rPr>
              <w:t>Total current liabilities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1,569,891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2,484,841</w:t>
            </w:r>
          </w:p>
        </w:tc>
        <w:tc>
          <w:tcPr>
            <w:tcW w:w="0" w:type="dxa"/>
            <w:vAlign w:val="bottom"/>
          </w:tcPr>
          <w:p>
            <w:pPr>
              <w:spacing w:after="0"/>
              <w:rPr>
                <w:sz w:val="1"/>
                <w:szCs w:val="1"/>
                <w:color w:val="auto"/>
              </w:rPr>
            </w:pPr>
          </w:p>
        </w:tc>
      </w:tr>
      <w:tr>
        <w:trPr>
          <w:trHeight w:val="431"/>
        </w:trPr>
        <w:tc>
          <w:tcPr>
            <w:tcW w:w="6760" w:type="dxa"/>
            <w:vAlign w:val="bottom"/>
          </w:tcPr>
          <w:p>
            <w:pPr>
              <w:spacing w:after="0"/>
              <w:rPr>
                <w:sz w:val="20"/>
                <w:szCs w:val="20"/>
                <w:color w:val="auto"/>
              </w:rPr>
            </w:pPr>
            <w:r>
              <w:rPr>
                <w:rFonts w:ascii="Verdana" w:cs="Verdana" w:eastAsia="Verdana" w:hAnsi="Verdana"/>
                <w:sz w:val="16"/>
                <w:szCs w:val="16"/>
                <w:color w:val="auto"/>
              </w:rPr>
              <w:t>Revolving credit facility borrowings</w:t>
            </w:r>
          </w:p>
        </w:tc>
        <w:tc>
          <w:tcPr>
            <w:tcW w:w="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333,000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360,000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Senior notes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5,219,552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6,933,209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Deferred income taxes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4,048,587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3,472,010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Verdana" w:cs="Verdana" w:eastAsia="Verdana" w:hAnsi="Verdana"/>
                <w:sz w:val="16"/>
                <w:szCs w:val="16"/>
                <w:color w:val="auto"/>
              </w:rPr>
              <w:t>Asset retirement obligations and other liabilities</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1,251,527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1,182,666</w:t>
            </w:r>
          </w:p>
        </w:tc>
        <w:tc>
          <w:tcPr>
            <w:tcW w:w="0" w:type="dxa"/>
            <w:vAlign w:val="bottom"/>
          </w:tcPr>
          <w:p>
            <w:pPr>
              <w:spacing w:after="0"/>
              <w:rPr>
                <w:sz w:val="1"/>
                <w:szCs w:val="1"/>
                <w:color w:val="auto"/>
              </w:rPr>
            </w:pPr>
          </w:p>
        </w:tc>
      </w:tr>
      <w:tr>
        <w:trPr>
          <w:trHeight w:val="210"/>
        </w:trPr>
        <w:tc>
          <w:tcPr>
            <w:tcW w:w="6760" w:type="dxa"/>
            <w:vAlign w:val="bottom"/>
          </w:tcPr>
          <w:p>
            <w:pPr>
              <w:ind w:left="440"/>
              <w:spacing w:after="0"/>
              <w:rPr>
                <w:sz w:val="20"/>
                <w:szCs w:val="20"/>
                <w:color w:val="auto"/>
              </w:rPr>
            </w:pPr>
            <w:r>
              <w:rPr>
                <w:rFonts w:ascii="Verdana" w:cs="Verdana" w:eastAsia="Verdana" w:hAnsi="Verdana"/>
                <w:sz w:val="16"/>
                <w:szCs w:val="16"/>
                <w:color w:val="auto"/>
              </w:rPr>
              <w:t>Total liabilities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12,422,557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14,432,726</w:t>
            </w:r>
          </w:p>
        </w:tc>
        <w:tc>
          <w:tcPr>
            <w:tcW w:w="0" w:type="dxa"/>
            <w:vAlign w:val="bottom"/>
          </w:tcPr>
          <w:p>
            <w:pPr>
              <w:spacing w:after="0"/>
              <w:rPr>
                <w:sz w:val="1"/>
                <w:szCs w:val="1"/>
                <w:color w:val="auto"/>
              </w:rPr>
            </w:pPr>
          </w:p>
        </w:tc>
      </w:tr>
      <w:tr>
        <w:trPr>
          <w:trHeight w:val="431"/>
        </w:trPr>
        <w:tc>
          <w:tcPr>
            <w:tcW w:w="6760" w:type="dxa"/>
            <w:vAlign w:val="bottom"/>
          </w:tcPr>
          <w:p>
            <w:pPr>
              <w:spacing w:after="0"/>
              <w:rPr>
                <w:sz w:val="20"/>
                <w:szCs w:val="20"/>
                <w:color w:val="auto"/>
              </w:rPr>
            </w:pPr>
            <w:r>
              <w:rPr>
                <w:rFonts w:ascii="Verdana" w:cs="Verdana" w:eastAsia="Verdana" w:hAnsi="Verdana"/>
                <w:sz w:val="16"/>
                <w:szCs w:val="16"/>
                <w:color w:val="auto"/>
              </w:rPr>
              <w:t>Equity:</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760" w:type="dxa"/>
            <w:vAlign w:val="bottom"/>
          </w:tcPr>
          <w:p>
            <w:pPr>
              <w:ind w:left="120"/>
              <w:spacing w:after="0" w:line="168" w:lineRule="exact"/>
              <w:rPr>
                <w:sz w:val="20"/>
                <w:szCs w:val="20"/>
                <w:color w:val="auto"/>
              </w:rPr>
            </w:pPr>
            <w:r>
              <w:rPr>
                <w:rFonts w:ascii="Verdana" w:cs="Verdana" w:eastAsia="Verdana" w:hAnsi="Verdana"/>
                <w:sz w:val="16"/>
                <w:szCs w:val="16"/>
                <w:color w:val="auto"/>
              </w:rPr>
              <w:t>Common stock, no par value,</w:t>
            </w:r>
          </w:p>
        </w:tc>
        <w:tc>
          <w:tcPr>
            <w:tcW w:w="5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Verdana" w:cs="Verdana" w:eastAsia="Verdana" w:hAnsi="Verdana"/>
                <w:sz w:val="16"/>
                <w:szCs w:val="16"/>
                <w:color w:val="auto"/>
              </w:rPr>
              <w:t>19,560,596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vMerge w:val="restart"/>
          </w:tcPr>
          <w:p>
            <w:pPr>
              <w:jc w:val="right"/>
              <w:spacing w:after="0"/>
              <w:rPr>
                <w:sz w:val="20"/>
                <w:szCs w:val="20"/>
                <w:color w:val="auto"/>
              </w:rPr>
            </w:pPr>
            <w:r>
              <w:rPr>
                <w:rFonts w:ascii="Verdana" w:cs="Verdana" w:eastAsia="Verdana" w:hAnsi="Verdana"/>
                <w:sz w:val="16"/>
                <w:szCs w:val="16"/>
                <w:color w:val="auto"/>
              </w:rPr>
              <w:t>19,517,761</w:t>
            </w:r>
          </w:p>
        </w:tc>
        <w:tc>
          <w:tcPr>
            <w:tcW w:w="0" w:type="dxa"/>
            <w:vAlign w:val="bottom"/>
          </w:tcPr>
          <w:p>
            <w:pPr>
              <w:spacing w:after="0"/>
              <w:rPr>
                <w:sz w:val="1"/>
                <w:szCs w:val="1"/>
                <w:color w:val="auto"/>
              </w:rPr>
            </w:pPr>
          </w:p>
        </w:tc>
      </w:tr>
      <w:tr>
        <w:trPr>
          <w:trHeight w:val="211"/>
        </w:trPr>
        <w:tc>
          <w:tcPr>
            <w:tcW w:w="6760" w:type="dxa"/>
            <w:vAlign w:val="bottom"/>
          </w:tcPr>
          <w:p>
            <w:pPr>
              <w:ind w:left="120"/>
              <w:spacing w:after="0"/>
              <w:rPr>
                <w:sz w:val="20"/>
                <w:szCs w:val="20"/>
                <w:color w:val="auto"/>
              </w:rPr>
            </w:pPr>
            <w:r>
              <w:rPr>
                <w:rFonts w:ascii="Verdana" w:cs="Verdana" w:eastAsia="Verdana" w:hAnsi="Verdana"/>
                <w:sz w:val="16"/>
                <w:szCs w:val="16"/>
                <w:color w:val="auto"/>
              </w:rPr>
              <w:t>shares authorized: 1,280,000, shares issued: 625,547 and 624,076</w:t>
            </w:r>
          </w:p>
        </w:tc>
        <w:tc>
          <w:tcPr>
            <w:tcW w:w="5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20"/>
              <w:spacing w:after="0"/>
              <w:rPr>
                <w:sz w:val="20"/>
                <w:szCs w:val="20"/>
                <w:color w:val="auto"/>
              </w:rPr>
            </w:pPr>
            <w:r>
              <w:rPr>
                <w:rFonts w:ascii="Verdana" w:cs="Verdana" w:eastAsia="Verdana" w:hAnsi="Verdana"/>
                <w:sz w:val="16"/>
                <w:szCs w:val="16"/>
                <w:color w:val="auto"/>
              </w:rPr>
              <w:t>Retained earnings</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5,906,699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4,237,089</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Verdana" w:cs="Verdana" w:eastAsia="Verdana" w:hAnsi="Verdana"/>
                <w:sz w:val="16"/>
                <w:szCs w:val="16"/>
                <w:color w:val="auto"/>
              </w:rPr>
              <w:t>Accumulated other comprehensive loss</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(1,789)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(2,173)</w:t>
            </w:r>
          </w:p>
        </w:tc>
        <w:tc>
          <w:tcPr>
            <w:tcW w:w="0" w:type="dxa"/>
            <w:vAlign w:val="bottom"/>
          </w:tcPr>
          <w:p>
            <w:pPr>
              <w:spacing w:after="0"/>
              <w:rPr>
                <w:sz w:val="1"/>
                <w:szCs w:val="1"/>
                <w:color w:val="auto"/>
              </w:rPr>
            </w:pPr>
          </w:p>
        </w:tc>
      </w:tr>
      <w:tr>
        <w:trPr>
          <w:trHeight w:val="210"/>
        </w:trPr>
        <w:tc>
          <w:tcPr>
            <w:tcW w:w="6760" w:type="dxa"/>
            <w:vAlign w:val="bottom"/>
          </w:tcPr>
          <w:p>
            <w:pPr>
              <w:ind w:left="220"/>
              <w:spacing w:after="0"/>
              <w:rPr>
                <w:sz w:val="20"/>
                <w:szCs w:val="20"/>
                <w:color w:val="auto"/>
              </w:rPr>
            </w:pPr>
            <w:r>
              <w:rPr>
                <w:rFonts w:ascii="Verdana" w:cs="Verdana" w:eastAsia="Verdana" w:hAnsi="Verdana"/>
                <w:sz w:val="16"/>
                <w:szCs w:val="16"/>
                <w:color w:val="auto"/>
              </w:rPr>
              <w:t>Total common shareholders' equity</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Verdana" w:cs="Verdana" w:eastAsia="Verdana" w:hAnsi="Verdana"/>
                <w:sz w:val="16"/>
                <w:szCs w:val="16"/>
                <w:color w:val="auto"/>
              </w:rPr>
              <w:t>25,465,506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Verdana" w:cs="Verdana" w:eastAsia="Verdana" w:hAnsi="Verdana"/>
                <w:sz w:val="16"/>
                <w:szCs w:val="16"/>
                <w:color w:val="auto"/>
              </w:rPr>
              <w:t>23,752,677</w:t>
            </w:r>
          </w:p>
        </w:tc>
        <w:tc>
          <w:tcPr>
            <w:tcW w:w="0" w:type="dxa"/>
            <w:vAlign w:val="bottom"/>
          </w:tcPr>
          <w:p>
            <w:pPr>
              <w:spacing w:after="0"/>
              <w:rPr>
                <w:sz w:val="1"/>
                <w:szCs w:val="1"/>
                <w:color w:val="auto"/>
              </w:rPr>
            </w:pPr>
          </w:p>
        </w:tc>
      </w:tr>
      <w:tr>
        <w:trPr>
          <w:trHeight w:val="215"/>
        </w:trPr>
        <w:tc>
          <w:tcPr>
            <w:tcW w:w="6760" w:type="dxa"/>
            <w:vAlign w:val="bottom"/>
          </w:tcPr>
          <w:p>
            <w:pPr>
              <w:ind w:left="120"/>
              <w:spacing w:after="0"/>
              <w:rPr>
                <w:sz w:val="20"/>
                <w:szCs w:val="20"/>
                <w:color w:val="auto"/>
              </w:rPr>
            </w:pPr>
            <w:r>
              <w:rPr>
                <w:rFonts w:ascii="Verdana" w:cs="Verdana" w:eastAsia="Verdana" w:hAnsi="Verdana"/>
                <w:sz w:val="16"/>
                <w:szCs w:val="16"/>
                <w:color w:val="auto"/>
              </w:rPr>
              <w:t>Noncontrolling interests in consolidated subsidiaries</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3,553,796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3,607,471</w:t>
            </w:r>
          </w:p>
        </w:tc>
        <w:tc>
          <w:tcPr>
            <w:tcW w:w="0" w:type="dxa"/>
            <w:vAlign w:val="bottom"/>
          </w:tcPr>
          <w:p>
            <w:pPr>
              <w:spacing w:after="0"/>
              <w:rPr>
                <w:sz w:val="1"/>
                <w:szCs w:val="1"/>
                <w:color w:val="auto"/>
              </w:rPr>
            </w:pPr>
          </w:p>
        </w:tc>
      </w:tr>
      <w:tr>
        <w:trPr>
          <w:trHeight w:val="213"/>
        </w:trPr>
        <w:tc>
          <w:tcPr>
            <w:tcW w:w="6760" w:type="dxa"/>
            <w:vAlign w:val="bottom"/>
          </w:tcPr>
          <w:p>
            <w:pPr>
              <w:ind w:left="440"/>
              <w:spacing w:after="0"/>
              <w:rPr>
                <w:sz w:val="20"/>
                <w:szCs w:val="20"/>
                <w:color w:val="auto"/>
              </w:rPr>
            </w:pPr>
            <w:r>
              <w:rPr>
                <w:rFonts w:ascii="Verdana" w:cs="Verdana" w:eastAsia="Verdana" w:hAnsi="Verdana"/>
                <w:sz w:val="16"/>
                <w:szCs w:val="16"/>
                <w:color w:val="auto"/>
              </w:rPr>
              <w:t>Total equity</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29,019,302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27,360,148</w:t>
            </w:r>
          </w:p>
        </w:tc>
        <w:tc>
          <w:tcPr>
            <w:tcW w:w="0" w:type="dxa"/>
            <w:vAlign w:val="bottom"/>
          </w:tcPr>
          <w:p>
            <w:pPr>
              <w:spacing w:after="0"/>
              <w:rPr>
                <w:sz w:val="1"/>
                <w:szCs w:val="1"/>
                <w:color w:val="auto"/>
              </w:rPr>
            </w:pPr>
          </w:p>
        </w:tc>
      </w:tr>
      <w:tr>
        <w:trPr>
          <w:trHeight w:val="212"/>
        </w:trPr>
        <w:tc>
          <w:tcPr>
            <w:tcW w:w="6760" w:type="dxa"/>
            <w:vAlign w:val="bottom"/>
          </w:tcPr>
          <w:p>
            <w:pPr>
              <w:ind w:left="540"/>
              <w:spacing w:after="0"/>
              <w:rPr>
                <w:sz w:val="20"/>
                <w:szCs w:val="20"/>
                <w:color w:val="auto"/>
              </w:rPr>
            </w:pPr>
            <w:r>
              <w:rPr>
                <w:rFonts w:ascii="Verdana" w:cs="Verdana" w:eastAsia="Verdana" w:hAnsi="Verdana"/>
                <w:sz w:val="16"/>
                <w:szCs w:val="16"/>
                <w:color w:val="auto"/>
              </w:rPr>
              <w:t>Total liabilities and equity</w:t>
            </w:r>
          </w:p>
        </w:tc>
        <w:tc>
          <w:tcPr>
            <w:tcW w:w="560" w:type="dxa"/>
            <w:vAlign w:val="bottom"/>
            <w:tcBorders>
              <w:bottom w:val="single" w:sz="8" w:color="auto"/>
            </w:tcBorders>
          </w:tcPr>
          <w:p>
            <w:pPr>
              <w:jc w:val="right"/>
              <w:ind w:right="359"/>
              <w:spacing w:after="0"/>
              <w:rPr>
                <w:sz w:val="20"/>
                <w:szCs w:val="20"/>
                <w:color w:val="auto"/>
              </w:rPr>
            </w:pPr>
            <w:r>
              <w:rPr>
                <w:rFonts w:ascii="Verdana" w:cs="Verdana" w:eastAsia="Verdana" w:hAnsi="Verdana"/>
                <w:sz w:val="16"/>
                <w:szCs w:val="16"/>
                <w:color w:val="auto"/>
                <w:w w:val="97"/>
              </w:rPr>
              <w:t>$</w:t>
            </w:r>
          </w:p>
        </w:tc>
        <w:tc>
          <w:tcPr>
            <w:tcW w:w="146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41,441,859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w w:val="97"/>
              </w:rPr>
              <w:t>$</w:t>
            </w:r>
          </w:p>
        </w:tc>
        <w:tc>
          <w:tcPr>
            <w:tcW w:w="2140" w:type="dxa"/>
            <w:vAlign w:val="bottom"/>
            <w:tcBorders>
              <w:bottom w:val="single" w:sz="8" w:color="auto"/>
            </w:tcBorders>
          </w:tcPr>
          <w:p>
            <w:pPr>
              <w:jc w:val="right"/>
              <w:spacing w:after="0"/>
              <w:rPr>
                <w:sz w:val="20"/>
                <w:szCs w:val="20"/>
                <w:color w:val="auto"/>
              </w:rPr>
            </w:pPr>
            <w:r>
              <w:rPr>
                <w:rFonts w:ascii="Verdana" w:cs="Verdana" w:eastAsia="Verdana" w:hAnsi="Verdana"/>
                <w:sz w:val="16"/>
                <w:szCs w:val="16"/>
                <w:color w:val="auto"/>
              </w:rPr>
              <w:t>41,792,874</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color w:val="auto"/>
        </w:rPr>
        <w:t>16</w:t>
      </w:r>
    </w:p>
    <w:p>
      <w:pPr>
        <w:sectPr>
          <w:pgSz w:w="11900" w:h="16838" w:orient="portrait"/>
          <w:cols w:equalWidth="0" w:num="1">
            <w:col w:w="11220"/>
          </w:cols>
          <w:pgMar w:left="340" w:top="1440" w:right="339" w:bottom="1440" w:gutter="0" w:footer="0" w:header="0"/>
        </w:sectPr>
      </w:pPr>
    </w:p>
    <w:bookmarkStart w:id="19" w:name="page20"/>
    <w:bookmarkEnd w:id="1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r>
    </w:p>
    <w:p>
      <w:pPr>
        <w:jc w:val="center"/>
        <w:ind w:right="20"/>
        <w:spacing w:after="0"/>
        <w:rPr>
          <w:sz w:val="20"/>
          <w:szCs w:val="20"/>
          <w:color w:val="auto"/>
        </w:rPr>
      </w:pPr>
      <w:r>
        <w:rPr>
          <w:rFonts w:ascii="Verdana" w:cs="Verdana" w:eastAsia="Verdana" w:hAnsi="Verdana"/>
          <w:sz w:val="18"/>
          <w:szCs w:val="18"/>
          <w:b w:val="1"/>
          <w:bCs w:val="1"/>
          <w:color w:val="auto"/>
        </w:rPr>
        <w:t>EQT CORPORATION AND SUBSIDIARIES</w:t>
      </w:r>
    </w:p>
    <w:p>
      <w:pPr>
        <w:spacing w:after="0" w:line="11"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b w:val="1"/>
          <w:bCs w:val="1"/>
          <w:color w:val="auto"/>
        </w:rPr>
        <w:t>STATEMENTS OF CONDENSED CONSOLIDATED CASH FLOWS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Verdana" w:cs="Verdana" w:eastAsia="Verdana" w:hAnsi="Verdana"/>
                <w:sz w:val="15"/>
                <w:szCs w:val="15"/>
                <w:b w:val="1"/>
                <w:bCs w:val="1"/>
                <w:color w:val="auto"/>
              </w:rPr>
              <w:t>Nine Months Ended</w:t>
            </w:r>
          </w:p>
        </w:tc>
        <w:tc>
          <w:tcPr>
            <w:tcW w:w="1260" w:type="dxa"/>
            <w:vAlign w:val="bottom"/>
          </w:tcPr>
          <w:p>
            <w:pPr>
              <w:spacing w:after="0"/>
              <w:rPr>
                <w:sz w:val="15"/>
                <w:szCs w:val="15"/>
                <w:color w:val="auto"/>
              </w:rPr>
            </w:pPr>
          </w:p>
        </w:tc>
      </w:tr>
      <w:tr>
        <w:trPr>
          <w:trHeight w:val="201"/>
        </w:trPr>
        <w:tc>
          <w:tcPr>
            <w:tcW w:w="70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84"/>
              <w:spacing w:after="0"/>
              <w:rPr>
                <w:sz w:val="20"/>
                <w:szCs w:val="20"/>
                <w:color w:val="auto"/>
              </w:rPr>
            </w:pPr>
            <w:r>
              <w:rPr>
                <w:rFonts w:ascii="Verdana" w:cs="Verdana" w:eastAsia="Verdana" w:hAnsi="Verdana"/>
                <w:sz w:val="15"/>
                <w:szCs w:val="15"/>
                <w:b w:val="1"/>
                <w:bCs w:val="1"/>
                <w:color w:val="auto"/>
              </w:rPr>
              <w:t>September 30,</w:t>
            </w:r>
          </w:p>
        </w:tc>
        <w:tc>
          <w:tcPr>
            <w:tcW w:w="1260" w:type="dxa"/>
            <w:vAlign w:val="bottom"/>
            <w:tcBorders>
              <w:bottom w:val="single" w:sz="8" w:color="auto"/>
            </w:tcBorders>
          </w:tcPr>
          <w:p>
            <w:pPr>
              <w:spacing w:after="0"/>
              <w:rPr>
                <w:sz w:val="17"/>
                <w:szCs w:val="17"/>
                <w:color w:val="auto"/>
              </w:rPr>
            </w:pPr>
          </w:p>
        </w:tc>
      </w:tr>
      <w:tr>
        <w:trPr>
          <w:trHeight w:val="197"/>
        </w:trPr>
        <w:tc>
          <w:tcPr>
            <w:tcW w:w="70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04"/>
              <w:spacing w:after="0"/>
              <w:rPr>
                <w:sz w:val="20"/>
                <w:szCs w:val="20"/>
                <w:color w:val="auto"/>
              </w:rPr>
            </w:pPr>
            <w:r>
              <w:rPr>
                <w:rFonts w:ascii="Verdana" w:cs="Verdana" w:eastAsia="Verdana" w:hAnsi="Verdana"/>
                <w:sz w:val="15"/>
                <w:szCs w:val="15"/>
                <w:b w:val="1"/>
                <w:bCs w:val="1"/>
                <w:color w:val="auto"/>
              </w:rPr>
              <w:t>2026</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24"/>
              <w:spacing w:after="0"/>
              <w:rPr>
                <w:sz w:val="20"/>
                <w:szCs w:val="20"/>
                <w:color w:val="auto"/>
              </w:rPr>
            </w:pPr>
            <w:r>
              <w:rPr>
                <w:rFonts w:ascii="Verdana" w:cs="Verdana" w:eastAsia="Verdana" w:hAnsi="Verdana"/>
                <w:sz w:val="15"/>
                <w:szCs w:val="15"/>
                <w:b w:val="1"/>
                <w:bCs w:val="1"/>
                <w:color w:val="auto"/>
              </w:rPr>
              <w:t>2025</w:t>
            </w:r>
          </w:p>
        </w:tc>
      </w:tr>
      <w:tr>
        <w:trPr>
          <w:trHeight w:val="242"/>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40" w:type="dxa"/>
            <w:vAlign w:val="bottom"/>
            <w:gridSpan w:val="3"/>
          </w:tcPr>
          <w:p>
            <w:pPr>
              <w:jc w:val="right"/>
              <w:ind w:right="204"/>
              <w:spacing w:after="0"/>
              <w:rPr>
                <w:sz w:val="20"/>
                <w:szCs w:val="20"/>
                <w:color w:val="auto"/>
              </w:rPr>
            </w:pPr>
            <w:r>
              <w:rPr>
                <w:rFonts w:ascii="Verdana" w:cs="Verdana" w:eastAsia="Verdana" w:hAnsi="Verdana"/>
                <w:sz w:val="15"/>
                <w:szCs w:val="15"/>
                <w:b w:val="1"/>
                <w:bCs w:val="1"/>
                <w:color w:val="auto"/>
              </w:rPr>
              <w:t>(Thousands)</w:t>
            </w:r>
          </w:p>
        </w:tc>
        <w:tc>
          <w:tcPr>
            <w:tcW w:w="1260" w:type="dxa"/>
            <w:vAlign w:val="bottom"/>
          </w:tcPr>
          <w:p>
            <w:pPr>
              <w:spacing w:after="0"/>
              <w:rPr>
                <w:sz w:val="21"/>
                <w:szCs w:val="21"/>
                <w:color w:val="auto"/>
              </w:rPr>
            </w:pP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b w:val="1"/>
                <w:bCs w:val="1"/>
                <w:color w:val="auto"/>
              </w:rPr>
              <w:t>Cash flows from operating activities: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Net income</w:t>
            </w:r>
          </w:p>
        </w:tc>
        <w:tc>
          <w:tcPr>
            <w:tcW w:w="460" w:type="dxa"/>
            <w:vAlign w:val="bottom"/>
          </w:tcPr>
          <w:p>
            <w:pPr>
              <w:jc w:val="right"/>
              <w:ind w:right="264"/>
              <w:spacing w:after="0"/>
              <w:rPr>
                <w:sz w:val="20"/>
                <w:szCs w:val="20"/>
                <w:color w:val="auto"/>
              </w:rPr>
            </w:pPr>
            <w:r>
              <w:rPr>
                <w:rFonts w:ascii="Verdana" w:cs="Verdana" w:eastAsia="Verdana" w:hAnsi="Verdana"/>
                <w:sz w:val="15"/>
                <w:szCs w:val="15"/>
                <w:color w:val="auto"/>
              </w:rPr>
              <w:t>$</w:t>
            </w: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2,180,455</w:t>
            </w:r>
          </w:p>
        </w:tc>
        <w:tc>
          <w:tcPr>
            <w:tcW w:w="120" w:type="dxa"/>
            <w:vAlign w:val="bottom"/>
          </w:tcPr>
          <w:p>
            <w:pPr>
              <w:spacing w:after="0"/>
              <w:rPr>
                <w:sz w:val="17"/>
                <w:szCs w:val="17"/>
                <w:color w:val="auto"/>
              </w:rPr>
            </w:pPr>
          </w:p>
        </w:tc>
        <w:tc>
          <w:tcPr>
            <w:tcW w:w="760" w:type="dxa"/>
            <w:vAlign w:val="bottom"/>
          </w:tcPr>
          <w:p>
            <w:pPr>
              <w:jc w:val="right"/>
              <w:ind w:right="564"/>
              <w:spacing w:after="0"/>
              <w:rPr>
                <w:sz w:val="20"/>
                <w:szCs w:val="20"/>
                <w:color w:val="auto"/>
              </w:rPr>
            </w:pPr>
            <w:r>
              <w:rPr>
                <w:rFonts w:ascii="Verdana" w:cs="Verdana" w:eastAsia="Verdana" w:hAnsi="Verdana"/>
                <w:sz w:val="15"/>
                <w:szCs w:val="15"/>
                <w:color w:val="auto"/>
              </w:rPr>
              <w:t>$</w:t>
            </w: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1,579,290</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Adjustments to reconcile net income to net cash provided by operating activities: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Deferred income tax expense</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576,339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446,674</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Depreciation, depletion and amortization</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1,984,167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1,932,628</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Loss (gain) on sale/exchange of long-lived assets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659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(2,402)</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Impairment and expiration of leases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16,062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9,391</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Income from investments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(165,929)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(138,274)</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Loss on debt extinguishment</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29,887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19,478</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Share-based compensation expense</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67,659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43,824</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Distributions from equity method investments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187,083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202,560</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Other</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16,468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7,836</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Loss (gain) on derivatives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93,342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(176,829)</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Net cash settlements paid on derivatives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(160,527)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(118,390)</w:t>
            </w:r>
          </w:p>
        </w:tc>
      </w:tr>
      <w:tr>
        <w:trPr>
          <w:trHeight w:val="203"/>
        </w:trPr>
        <w:tc>
          <w:tcPr>
            <w:tcW w:w="7060" w:type="dxa"/>
            <w:vAlign w:val="bottom"/>
          </w:tcPr>
          <w:p>
            <w:pPr>
              <w:ind w:left="120"/>
              <w:spacing w:after="0"/>
              <w:rPr>
                <w:sz w:val="20"/>
                <w:szCs w:val="20"/>
                <w:color w:val="auto"/>
              </w:rPr>
            </w:pPr>
            <w:r>
              <w:rPr>
                <w:rFonts w:ascii="Verdana" w:cs="Verdana" w:eastAsia="Verdana" w:hAnsi="Verdana"/>
                <w:sz w:val="15"/>
                <w:szCs w:val="15"/>
                <w:color w:val="auto"/>
              </w:rPr>
              <w:t>Changes in other assets and liabilities: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60" w:type="dxa"/>
            <w:vAlign w:val="bottom"/>
          </w:tcPr>
          <w:p>
            <w:pPr>
              <w:ind w:left="340"/>
              <w:spacing w:after="0"/>
              <w:rPr>
                <w:sz w:val="20"/>
                <w:szCs w:val="20"/>
                <w:color w:val="auto"/>
              </w:rPr>
            </w:pPr>
            <w:r>
              <w:rPr>
                <w:rFonts w:ascii="Verdana" w:cs="Verdana" w:eastAsia="Verdana" w:hAnsi="Verdana"/>
                <w:sz w:val="15"/>
                <w:szCs w:val="15"/>
                <w:color w:val="auto"/>
              </w:rPr>
              <w:t>Accounts receivable</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732,853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296,345</w:t>
            </w:r>
          </w:p>
        </w:tc>
      </w:tr>
      <w:tr>
        <w:trPr>
          <w:trHeight w:val="203"/>
        </w:trPr>
        <w:tc>
          <w:tcPr>
            <w:tcW w:w="7060" w:type="dxa"/>
            <w:vAlign w:val="bottom"/>
          </w:tcPr>
          <w:p>
            <w:pPr>
              <w:ind w:left="340"/>
              <w:spacing w:after="0"/>
              <w:rPr>
                <w:sz w:val="20"/>
                <w:szCs w:val="20"/>
                <w:color w:val="auto"/>
              </w:rPr>
            </w:pPr>
            <w:r>
              <w:rPr>
                <w:rFonts w:ascii="Verdana" w:cs="Verdana" w:eastAsia="Verdana" w:hAnsi="Verdana"/>
                <w:sz w:val="15"/>
                <w:szCs w:val="15"/>
                <w:color w:val="auto"/>
              </w:rPr>
              <w:t>Accounts payable</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(238,941)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(4,487)</w:t>
            </w:r>
          </w:p>
        </w:tc>
      </w:tr>
      <w:tr>
        <w:trPr>
          <w:trHeight w:val="203"/>
        </w:trPr>
        <w:tc>
          <w:tcPr>
            <w:tcW w:w="7060" w:type="dxa"/>
            <w:vAlign w:val="bottom"/>
          </w:tcPr>
          <w:p>
            <w:pPr>
              <w:ind w:left="340"/>
              <w:spacing w:after="0"/>
              <w:rPr>
                <w:sz w:val="20"/>
                <w:szCs w:val="20"/>
                <w:color w:val="auto"/>
              </w:rPr>
            </w:pPr>
            <w:r>
              <w:rPr>
                <w:rFonts w:ascii="Verdana" w:cs="Verdana" w:eastAsia="Verdana" w:hAnsi="Verdana"/>
                <w:sz w:val="15"/>
                <w:szCs w:val="15"/>
                <w:color w:val="auto"/>
              </w:rPr>
              <w:t>Income tax receivable and payable</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16,050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97,378</w:t>
            </w:r>
          </w:p>
        </w:tc>
      </w:tr>
      <w:tr>
        <w:trPr>
          <w:trHeight w:val="203"/>
        </w:trPr>
        <w:tc>
          <w:tcPr>
            <w:tcW w:w="7060" w:type="dxa"/>
            <w:vAlign w:val="bottom"/>
          </w:tcPr>
          <w:p>
            <w:pPr>
              <w:ind w:left="340"/>
              <w:spacing w:after="0"/>
              <w:rPr>
                <w:sz w:val="20"/>
                <w:szCs w:val="20"/>
                <w:color w:val="auto"/>
              </w:rPr>
            </w:pPr>
            <w:r>
              <w:rPr>
                <w:rFonts w:ascii="Verdana" w:cs="Verdana" w:eastAsia="Verdana" w:hAnsi="Verdana"/>
                <w:sz w:val="15"/>
                <w:szCs w:val="15"/>
                <w:color w:val="auto"/>
              </w:rPr>
              <w:t>Other current assets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6,534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42,697</w:t>
            </w:r>
          </w:p>
        </w:tc>
      </w:tr>
      <w:tr>
        <w:trPr>
          <w:trHeight w:val="197"/>
        </w:trPr>
        <w:tc>
          <w:tcPr>
            <w:tcW w:w="7060" w:type="dxa"/>
            <w:vAlign w:val="bottom"/>
          </w:tcPr>
          <w:p>
            <w:pPr>
              <w:ind w:left="340"/>
              <w:spacing w:after="0"/>
              <w:rPr>
                <w:sz w:val="20"/>
                <w:szCs w:val="20"/>
                <w:color w:val="auto"/>
              </w:rPr>
            </w:pPr>
            <w:r>
              <w:rPr>
                <w:rFonts w:ascii="Verdana" w:cs="Verdana" w:eastAsia="Verdana" w:hAnsi="Verdana"/>
                <w:sz w:val="15"/>
                <w:szCs w:val="15"/>
                <w:color w:val="auto"/>
              </w:rPr>
              <w:t>Other items, net</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(155,829)</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(237,154)</w:t>
            </w:r>
          </w:p>
        </w:tc>
      </w:tr>
      <w:tr>
        <w:trPr>
          <w:trHeight w:val="201"/>
        </w:trPr>
        <w:tc>
          <w:tcPr>
            <w:tcW w:w="7060" w:type="dxa"/>
            <w:vAlign w:val="bottom"/>
          </w:tcPr>
          <w:p>
            <w:pPr>
              <w:ind w:left="540"/>
              <w:spacing w:after="0"/>
              <w:rPr>
                <w:sz w:val="20"/>
                <w:szCs w:val="20"/>
                <w:color w:val="auto"/>
              </w:rPr>
            </w:pPr>
            <w:r>
              <w:rPr>
                <w:rFonts w:ascii="Verdana" w:cs="Verdana" w:eastAsia="Verdana" w:hAnsi="Verdana"/>
                <w:sz w:val="15"/>
                <w:szCs w:val="15"/>
                <w:color w:val="auto"/>
              </w:rPr>
              <w:t>Net cash provided by operating activities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5,186,332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4,000,565</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b w:val="1"/>
                <w:bCs w:val="1"/>
                <w:color w:val="auto"/>
              </w:rPr>
              <w:t>Cash flows from investing activities: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Capital expenditures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(1,896,087)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(1,675,691)</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Cash paid for acquisitions, net of cash acquired</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(79,560)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(484,807)</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Net cash received (paid) for sale/exchange of assets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450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(8,603)</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Cash paid for acquisitions of additional interests in equity method investments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(216,209)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Capital contributions to equity method investments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(117,438)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(44,406)</w:t>
            </w:r>
          </w:p>
        </w:tc>
      </w:tr>
      <w:tr>
        <w:trPr>
          <w:trHeight w:val="197"/>
        </w:trPr>
        <w:tc>
          <w:tcPr>
            <w:tcW w:w="7060" w:type="dxa"/>
            <w:vAlign w:val="bottom"/>
          </w:tcPr>
          <w:p>
            <w:pPr>
              <w:spacing w:after="0"/>
              <w:rPr>
                <w:sz w:val="20"/>
                <w:szCs w:val="20"/>
                <w:color w:val="auto"/>
              </w:rPr>
            </w:pPr>
            <w:r>
              <w:rPr>
                <w:rFonts w:ascii="Verdana" w:cs="Verdana" w:eastAsia="Verdana" w:hAnsi="Verdana"/>
                <w:sz w:val="15"/>
                <w:szCs w:val="15"/>
                <w:color w:val="auto"/>
              </w:rPr>
              <w:t>Other investing activities</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(2,221)</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(10,388)</w:t>
            </w:r>
          </w:p>
        </w:tc>
      </w:tr>
      <w:tr>
        <w:trPr>
          <w:trHeight w:val="202"/>
        </w:trPr>
        <w:tc>
          <w:tcPr>
            <w:tcW w:w="7060" w:type="dxa"/>
            <w:vAlign w:val="bottom"/>
          </w:tcPr>
          <w:p>
            <w:pPr>
              <w:ind w:left="540"/>
              <w:spacing w:after="0"/>
              <w:rPr>
                <w:sz w:val="20"/>
                <w:szCs w:val="20"/>
                <w:color w:val="auto"/>
              </w:rPr>
            </w:pPr>
            <w:r>
              <w:rPr>
                <w:rFonts w:ascii="Verdana" w:cs="Verdana" w:eastAsia="Verdana" w:hAnsi="Verdana"/>
                <w:sz w:val="15"/>
                <w:szCs w:val="15"/>
                <w:color w:val="auto"/>
              </w:rPr>
              <w:t>Net cash used in investing activities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(2,311,065)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(2,223,895)</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b w:val="1"/>
                <w:bCs w:val="1"/>
                <w:color w:val="auto"/>
              </w:rPr>
              <w:t>Cash flows from financing activities:</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7060" w:type="dxa"/>
            <w:vAlign w:val="bottom"/>
          </w:tcPr>
          <w:p>
            <w:pPr>
              <w:spacing w:after="0"/>
              <w:rPr>
                <w:sz w:val="20"/>
                <w:szCs w:val="20"/>
                <w:color w:val="auto"/>
              </w:rPr>
            </w:pPr>
            <w:r>
              <w:rPr>
                <w:rFonts w:ascii="Verdana" w:cs="Verdana" w:eastAsia="Verdana" w:hAnsi="Verdana"/>
                <w:sz w:val="15"/>
                <w:szCs w:val="15"/>
                <w:color w:val="auto"/>
              </w:rPr>
              <w:t>Proceeds from revolving credit facility borrowings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4,518,500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3,018,000</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Repayment of revolving credit facility borrowings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(4,545,500)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(3,210,800)</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Debt issuance costs</w:t>
            </w:r>
          </w:p>
        </w:tc>
        <w:tc>
          <w:tcPr>
            <w:tcW w:w="46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Verdana" w:cs="Verdana" w:eastAsia="Verdana" w:hAnsi="Verdana"/>
                <w:sz w:val="15"/>
                <w:szCs w:val="15"/>
                <w:color w:val="auto"/>
              </w:rPr>
              <w:t>—</w:t>
            </w: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(9,623)</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Repayment and retirement of debt</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(2,237,944)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(905,698)</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Net premiums paid on debt extinguishment</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(22,649)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(29,507)</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Dividends paid</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(309,490)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(286,662)</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Contribution from noncontrolling interests</w:t>
            </w:r>
          </w:p>
        </w:tc>
        <w:tc>
          <w:tcPr>
            <w:tcW w:w="46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Verdana" w:cs="Verdana" w:eastAsia="Verdana" w:hAnsi="Verdana"/>
                <w:sz w:val="15"/>
                <w:szCs w:val="15"/>
                <w:color w:val="auto"/>
              </w:rPr>
              <w:t>98,357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Distributions to noncontrolling interests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(355,142)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(259,217)</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Cash paid for taxes to net settle share-based incentive awards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(47,398)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(53,830)</w:t>
            </w:r>
          </w:p>
        </w:tc>
      </w:tr>
      <w:tr>
        <w:trPr>
          <w:trHeight w:val="197"/>
        </w:trPr>
        <w:tc>
          <w:tcPr>
            <w:tcW w:w="7060" w:type="dxa"/>
            <w:vAlign w:val="bottom"/>
          </w:tcPr>
          <w:p>
            <w:pPr>
              <w:spacing w:after="0"/>
              <w:rPr>
                <w:sz w:val="20"/>
                <w:szCs w:val="20"/>
                <w:color w:val="auto"/>
              </w:rPr>
            </w:pPr>
            <w:r>
              <w:rPr>
                <w:rFonts w:ascii="Verdana" w:cs="Verdana" w:eastAsia="Verdana" w:hAnsi="Verdana"/>
                <w:sz w:val="15"/>
                <w:szCs w:val="15"/>
                <w:color w:val="auto"/>
              </w:rPr>
              <w:t>Other financing activities</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(6,081)</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(5,690)</w:t>
            </w:r>
          </w:p>
        </w:tc>
      </w:tr>
      <w:tr>
        <w:trPr>
          <w:trHeight w:val="201"/>
        </w:trPr>
        <w:tc>
          <w:tcPr>
            <w:tcW w:w="7060" w:type="dxa"/>
            <w:vAlign w:val="bottom"/>
          </w:tcPr>
          <w:p>
            <w:pPr>
              <w:ind w:left="540"/>
              <w:spacing w:after="0"/>
              <w:rPr>
                <w:sz w:val="20"/>
                <w:szCs w:val="20"/>
                <w:color w:val="auto"/>
              </w:rPr>
            </w:pPr>
            <w:r>
              <w:rPr>
                <w:rFonts w:ascii="Verdana" w:cs="Verdana" w:eastAsia="Verdana" w:hAnsi="Verdana"/>
                <w:sz w:val="15"/>
                <w:szCs w:val="15"/>
                <w:color w:val="auto"/>
              </w:rPr>
              <w:t>Net cash used in financing activities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(2,907,347)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5"/>
                <w:szCs w:val="15"/>
                <w:color w:val="auto"/>
              </w:rPr>
              <w:t>(1,743,027)</w:t>
            </w:r>
          </w:p>
        </w:tc>
      </w:tr>
      <w:tr>
        <w:trPr>
          <w:trHeight w:val="203"/>
        </w:trPr>
        <w:tc>
          <w:tcPr>
            <w:tcW w:w="7060" w:type="dxa"/>
            <w:vAlign w:val="bottom"/>
          </w:tcPr>
          <w:p>
            <w:pPr>
              <w:spacing w:after="0"/>
              <w:rPr>
                <w:sz w:val="20"/>
                <w:szCs w:val="20"/>
                <w:color w:val="auto"/>
              </w:rPr>
            </w:pPr>
            <w:r>
              <w:rPr>
                <w:rFonts w:ascii="Verdana" w:cs="Verdana" w:eastAsia="Verdana" w:hAnsi="Verdana"/>
                <w:sz w:val="15"/>
                <w:szCs w:val="15"/>
                <w:color w:val="auto"/>
              </w:rPr>
              <w:t>Net change in cash and cash equivalents</w:t>
            </w:r>
          </w:p>
        </w:tc>
        <w:tc>
          <w:tcPr>
            <w:tcW w:w="4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Verdana" w:cs="Verdana" w:eastAsia="Verdana" w:hAnsi="Verdana"/>
                <w:sz w:val="15"/>
                <w:szCs w:val="15"/>
                <w:color w:val="auto"/>
              </w:rPr>
              <w:t>(32,080)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Verdana" w:cs="Verdana" w:eastAsia="Verdana" w:hAnsi="Verdana"/>
                <w:sz w:val="15"/>
                <w:szCs w:val="15"/>
                <w:color w:val="auto"/>
              </w:rPr>
              <w:t>33,643</w:t>
            </w:r>
          </w:p>
        </w:tc>
      </w:tr>
      <w:tr>
        <w:trPr>
          <w:trHeight w:val="197"/>
        </w:trPr>
        <w:tc>
          <w:tcPr>
            <w:tcW w:w="7060" w:type="dxa"/>
            <w:vAlign w:val="bottom"/>
          </w:tcPr>
          <w:p>
            <w:pPr>
              <w:spacing w:after="0"/>
              <w:rPr>
                <w:sz w:val="20"/>
                <w:szCs w:val="20"/>
                <w:color w:val="auto"/>
              </w:rPr>
            </w:pPr>
            <w:r>
              <w:rPr>
                <w:rFonts w:ascii="Verdana" w:cs="Verdana" w:eastAsia="Verdana" w:hAnsi="Verdana"/>
                <w:sz w:val="15"/>
                <w:szCs w:val="15"/>
                <w:color w:val="auto"/>
              </w:rPr>
              <w:t>Cash and cash equivalents at beginning of period</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110,795</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202,093</w:t>
            </w:r>
          </w:p>
        </w:tc>
      </w:tr>
      <w:tr>
        <w:trPr>
          <w:trHeight w:val="196"/>
        </w:trPr>
        <w:tc>
          <w:tcPr>
            <w:tcW w:w="7060" w:type="dxa"/>
            <w:vAlign w:val="bottom"/>
          </w:tcPr>
          <w:p>
            <w:pPr>
              <w:spacing w:after="0"/>
              <w:rPr>
                <w:sz w:val="20"/>
                <w:szCs w:val="20"/>
                <w:color w:val="auto"/>
              </w:rPr>
            </w:pPr>
            <w:r>
              <w:rPr>
                <w:rFonts w:ascii="Verdana" w:cs="Verdana" w:eastAsia="Verdana" w:hAnsi="Verdana"/>
                <w:sz w:val="15"/>
                <w:szCs w:val="15"/>
                <w:color w:val="auto"/>
              </w:rPr>
              <w:t>Cash and cash equivalents at end of period</w:t>
            </w:r>
          </w:p>
        </w:tc>
        <w:tc>
          <w:tcPr>
            <w:tcW w:w="460" w:type="dxa"/>
            <w:vAlign w:val="bottom"/>
            <w:tcBorders>
              <w:bottom w:val="single" w:sz="8" w:color="auto"/>
            </w:tcBorders>
          </w:tcPr>
          <w:p>
            <w:pPr>
              <w:jc w:val="right"/>
              <w:ind w:right="264"/>
              <w:spacing w:after="0"/>
              <w:rPr>
                <w:sz w:val="20"/>
                <w:szCs w:val="20"/>
                <w:color w:val="auto"/>
              </w:rPr>
            </w:pPr>
            <w:r>
              <w:rPr>
                <w:rFonts w:ascii="Verdana" w:cs="Verdana" w:eastAsia="Verdana" w:hAnsi="Verdana"/>
                <w:sz w:val="15"/>
                <w:szCs w:val="15"/>
                <w:color w:val="auto"/>
              </w:rPr>
              <w:t>$</w:t>
            </w:r>
          </w:p>
        </w:tc>
        <w:tc>
          <w:tcPr>
            <w:tcW w:w="15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78,715</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564"/>
              <w:spacing w:after="0"/>
              <w:rPr>
                <w:sz w:val="20"/>
                <w:szCs w:val="20"/>
                <w:color w:val="auto"/>
              </w:rPr>
            </w:pPr>
            <w:r>
              <w:rPr>
                <w:rFonts w:ascii="Verdana" w:cs="Verdana" w:eastAsia="Verdana" w:hAnsi="Verdana"/>
                <w:sz w:val="15"/>
                <w:szCs w:val="15"/>
                <w:color w:val="auto"/>
              </w:rPr>
              <w:t>$</w:t>
            </w:r>
          </w:p>
        </w:tc>
        <w:tc>
          <w:tcPr>
            <w:tcW w:w="12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235,736</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color w:val="auto"/>
        </w:rPr>
        <w:t>17</w:t>
      </w:r>
    </w:p>
    <w:p>
      <w:pPr>
        <w:sectPr>
          <w:pgSz w:w="11900" w:h="16838" w:orient="portrait"/>
          <w:cols w:equalWidth="0" w:num="1">
            <w:col w:w="11220"/>
          </w:cols>
          <w:pgMar w:left="340" w:top="1440" w:right="339" w:bottom="1440" w:gutter="0" w:footer="0" w:header="0"/>
        </w:sectPr>
      </w:pPr>
    </w:p>
    <w:bookmarkStart w:id="20" w:name="page21"/>
    <w:bookmarkEnd w:id="2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97205"/>
                    </a:xfrm>
                    <a:prstGeom prst="rect">
                      <a:avLst/>
                    </a:prstGeom>
                    <a:noFill/>
                  </pic:spPr>
                </pic:pic>
              </a:graphicData>
            </a:graphic>
          </wp:anchor>
        </w:drawing>
      </w:r>
    </w:p>
    <w:p>
      <w:pPr>
        <w:jc w:val="center"/>
        <w:ind w:right="20"/>
        <w:spacing w:after="0"/>
        <w:rPr>
          <w:sz w:val="20"/>
          <w:szCs w:val="20"/>
          <w:color w:val="auto"/>
        </w:rPr>
      </w:pPr>
      <w:r>
        <w:rPr>
          <w:rFonts w:ascii="Verdana" w:cs="Verdana" w:eastAsia="Verdana" w:hAnsi="Verdana"/>
          <w:sz w:val="18"/>
          <w:szCs w:val="18"/>
          <w:b w:val="1"/>
          <w:bCs w:val="1"/>
          <w:color w:val="auto"/>
        </w:rPr>
        <w:t>EQT CORPORATION AND SUBSIDIARIES</w:t>
      </w:r>
    </w:p>
    <w:p>
      <w:pPr>
        <w:spacing w:after="0" w:line="11"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b w:val="1"/>
          <w:bCs w:val="1"/>
          <w:color w:val="auto"/>
        </w:rPr>
        <w:t>PRICE RECONCILIATION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5"/>
          </w:tcPr>
          <w:p>
            <w:pPr>
              <w:ind w:left="340"/>
              <w:spacing w:after="0"/>
              <w:rPr>
                <w:sz w:val="20"/>
                <w:szCs w:val="20"/>
                <w:color w:val="auto"/>
              </w:rPr>
            </w:pPr>
            <w:r>
              <w:rPr>
                <w:rFonts w:ascii="Verdana" w:cs="Verdana" w:eastAsia="Verdana" w:hAnsi="Verdana"/>
                <w:sz w:val="15"/>
                <w:szCs w:val="15"/>
                <w:b w:val="1"/>
                <w:bCs w:val="1"/>
                <w:color w:val="auto"/>
              </w:rPr>
              <w:t>Three Months Ended</w:t>
            </w:r>
          </w:p>
        </w:tc>
        <w:tc>
          <w:tcPr>
            <w:tcW w:w="260" w:type="dxa"/>
            <w:vAlign w:val="bottom"/>
          </w:tcPr>
          <w:p>
            <w:pPr>
              <w:spacing w:after="0"/>
              <w:rPr>
                <w:sz w:val="15"/>
                <w:szCs w:val="15"/>
                <w:color w:val="auto"/>
              </w:rPr>
            </w:pPr>
          </w:p>
        </w:tc>
        <w:tc>
          <w:tcPr>
            <w:tcW w:w="2420" w:type="dxa"/>
            <w:vAlign w:val="bottom"/>
            <w:gridSpan w:val="4"/>
          </w:tcPr>
          <w:p>
            <w:pPr>
              <w:jc w:val="right"/>
              <w:ind w:right="464"/>
              <w:spacing w:after="0"/>
              <w:rPr>
                <w:sz w:val="20"/>
                <w:szCs w:val="20"/>
                <w:color w:val="auto"/>
              </w:rPr>
            </w:pPr>
            <w:r>
              <w:rPr>
                <w:rFonts w:ascii="Verdana" w:cs="Verdana" w:eastAsia="Verdana" w:hAnsi="Verdana"/>
                <w:sz w:val="15"/>
                <w:szCs w:val="15"/>
                <w:b w:val="1"/>
                <w:bCs w:val="1"/>
                <w:color w:val="auto"/>
              </w:rPr>
              <w:t>Nine Months Ended</w:t>
            </w:r>
          </w:p>
        </w:tc>
      </w:tr>
      <w:tr>
        <w:trPr>
          <w:trHeight w:val="201"/>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Verdana" w:cs="Verdana" w:eastAsia="Verdana" w:hAnsi="Verdana"/>
                <w:sz w:val="15"/>
                <w:szCs w:val="15"/>
                <w:b w:val="1"/>
                <w:bCs w:val="1"/>
                <w:color w:val="auto"/>
              </w:rPr>
              <w:t>September 30,</w:t>
            </w:r>
          </w:p>
        </w:tc>
        <w:tc>
          <w:tcPr>
            <w:tcW w:w="260" w:type="dxa"/>
            <w:vAlign w:val="bottom"/>
          </w:tcPr>
          <w:p>
            <w:pPr>
              <w:spacing w:after="0"/>
              <w:rPr>
                <w:sz w:val="17"/>
                <w:szCs w:val="17"/>
                <w:color w:val="auto"/>
              </w:rPr>
            </w:pPr>
          </w:p>
        </w:tc>
        <w:tc>
          <w:tcPr>
            <w:tcW w:w="2420" w:type="dxa"/>
            <w:vAlign w:val="bottom"/>
            <w:gridSpan w:val="4"/>
          </w:tcPr>
          <w:p>
            <w:pPr>
              <w:jc w:val="right"/>
              <w:ind w:right="604"/>
              <w:spacing w:after="0"/>
              <w:rPr>
                <w:sz w:val="20"/>
                <w:szCs w:val="20"/>
                <w:color w:val="auto"/>
              </w:rPr>
            </w:pPr>
            <w:r>
              <w:rPr>
                <w:rFonts w:ascii="Verdana" w:cs="Verdana" w:eastAsia="Verdana" w:hAnsi="Verdana"/>
                <w:sz w:val="15"/>
                <w:szCs w:val="15"/>
                <w:b w:val="1"/>
                <w:bCs w:val="1"/>
                <w:color w:val="auto"/>
              </w:rPr>
              <w:t>September 30,</w:t>
            </w:r>
          </w:p>
        </w:tc>
      </w:tr>
      <w:tr>
        <w:trPr>
          <w:trHeight w:val="197"/>
        </w:trPr>
        <w:tc>
          <w:tcPr>
            <w:tcW w:w="52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64"/>
              <w:spacing w:after="0"/>
              <w:rPr>
                <w:sz w:val="20"/>
                <w:szCs w:val="20"/>
                <w:color w:val="auto"/>
              </w:rPr>
            </w:pPr>
            <w:r>
              <w:rPr>
                <w:rFonts w:ascii="Verdana" w:cs="Verdana" w:eastAsia="Verdana" w:hAnsi="Verdana"/>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4"/>
              <w:spacing w:after="0"/>
              <w:rPr>
                <w:sz w:val="20"/>
                <w:szCs w:val="20"/>
                <w:color w:val="auto"/>
              </w:rPr>
            </w:pPr>
            <w:r>
              <w:rPr>
                <w:rFonts w:ascii="Verdana" w:cs="Verdana" w:eastAsia="Verdana" w:hAnsi="Verdana"/>
                <w:sz w:val="15"/>
                <w:szCs w:val="15"/>
                <w:b w:val="1"/>
                <w:bCs w:val="1"/>
                <w:color w:val="auto"/>
              </w:rPr>
              <w:t>2025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4"/>
              <w:spacing w:after="0"/>
              <w:rPr>
                <w:sz w:val="20"/>
                <w:szCs w:val="20"/>
                <w:color w:val="auto"/>
              </w:rPr>
            </w:pPr>
            <w:r>
              <w:rPr>
                <w:rFonts w:ascii="Verdana" w:cs="Verdana" w:eastAsia="Verdana" w:hAnsi="Verdana"/>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64"/>
              <w:spacing w:after="0"/>
              <w:rPr>
                <w:sz w:val="20"/>
                <w:szCs w:val="20"/>
                <w:color w:val="auto"/>
              </w:rPr>
            </w:pPr>
            <w:r>
              <w:rPr>
                <w:rFonts w:ascii="Verdana" w:cs="Verdana" w:eastAsia="Verdana" w:hAnsi="Verdana"/>
                <w:sz w:val="15"/>
                <w:szCs w:val="15"/>
                <w:b w:val="1"/>
                <w:bCs w:val="1"/>
                <w:color w:val="auto"/>
              </w:rPr>
              <w:t>2025</w:t>
            </w:r>
          </w:p>
        </w:tc>
      </w:tr>
      <w:tr>
        <w:trPr>
          <w:trHeight w:val="242"/>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20" w:type="dxa"/>
            <w:vAlign w:val="bottom"/>
            <w:gridSpan w:val="8"/>
          </w:tcPr>
          <w:p>
            <w:pPr>
              <w:ind w:left="1040"/>
              <w:spacing w:after="0"/>
              <w:rPr>
                <w:sz w:val="20"/>
                <w:szCs w:val="20"/>
                <w:color w:val="auto"/>
              </w:rPr>
            </w:pPr>
            <w:r>
              <w:rPr>
                <w:rFonts w:ascii="Verdana" w:cs="Verdana" w:eastAsia="Verdana" w:hAnsi="Verdana"/>
                <w:sz w:val="15"/>
                <w:szCs w:val="15"/>
                <w:b w:val="1"/>
                <w:bCs w:val="1"/>
                <w:color w:val="auto"/>
              </w:rPr>
              <w:t>(Thousands, unless otherwise noted)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b w:val="1"/>
                <w:bCs w:val="1"/>
                <w:color w:val="auto"/>
              </w:rPr>
              <w:t>NATURAL GAS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(MMcf)</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544,536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595,642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1,722,847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1,666,421</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NYMEX price ($/MMBtu)</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2.96</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3.07</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3.60</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3.37</w:t>
            </w:r>
          </w:p>
        </w:tc>
      </w:tr>
      <w:tr>
        <w:trPr>
          <w:trHeight w:val="197"/>
        </w:trPr>
        <w:tc>
          <w:tcPr>
            <w:tcW w:w="5260" w:type="dxa"/>
            <w:vAlign w:val="bottom"/>
          </w:tcPr>
          <w:p>
            <w:pPr>
              <w:spacing w:after="0"/>
              <w:rPr>
                <w:sz w:val="20"/>
                <w:szCs w:val="20"/>
                <w:color w:val="auto"/>
              </w:rPr>
            </w:pPr>
            <w:r>
              <w:rPr>
                <w:rFonts w:ascii="Verdana" w:cs="Verdana" w:eastAsia="Verdana" w:hAnsi="Verdana"/>
                <w:sz w:val="15"/>
                <w:szCs w:val="15"/>
                <w:color w:val="auto"/>
              </w:rPr>
              <w:t>Btu uplift</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0.16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0.19</w:t>
            </w:r>
          </w:p>
        </w:tc>
      </w:tr>
      <w:tr>
        <w:trPr>
          <w:trHeight w:val="202"/>
        </w:trPr>
        <w:tc>
          <w:tcPr>
            <w:tcW w:w="5260" w:type="dxa"/>
            <w:vAlign w:val="bottom"/>
          </w:tcPr>
          <w:p>
            <w:pPr>
              <w:ind w:left="100"/>
              <w:spacing w:after="0"/>
              <w:rPr>
                <w:sz w:val="20"/>
                <w:szCs w:val="20"/>
                <w:color w:val="auto"/>
              </w:rPr>
            </w:pPr>
            <w:r>
              <w:rPr>
                <w:rFonts w:ascii="Verdana" w:cs="Verdana" w:eastAsia="Verdana" w:hAnsi="Verdana"/>
                <w:sz w:val="15"/>
                <w:szCs w:val="15"/>
                <w:color w:val="auto"/>
              </w:rPr>
              <w:t>Natural gas price ($/Mcf)</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3.12</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3.24</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3.80</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3.56</w:t>
            </w:r>
          </w:p>
        </w:tc>
      </w:tr>
      <w:tr>
        <w:trPr>
          <w:trHeight w:val="418"/>
        </w:trPr>
        <w:tc>
          <w:tcPr>
            <w:tcW w:w="5260" w:type="dxa"/>
            <w:vAlign w:val="bottom"/>
          </w:tcPr>
          <w:p>
            <w:pPr>
              <w:spacing w:after="0"/>
              <w:rPr>
                <w:sz w:val="20"/>
                <w:szCs w:val="20"/>
                <w:color w:val="auto"/>
              </w:rPr>
            </w:pPr>
            <w:r>
              <w:rPr>
                <w:rFonts w:ascii="Verdana" w:cs="Verdana" w:eastAsia="Verdana" w:hAnsi="Verdana"/>
                <w:sz w:val="15"/>
                <w:szCs w:val="15"/>
                <w:color w:val="auto"/>
              </w:rPr>
              <w:t>Basis ($/Mcf) (a)</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spacing w:after="0"/>
              <w:rPr>
                <w:sz w:val="20"/>
                <w:szCs w:val="20"/>
                <w:color w:val="auto"/>
              </w:rPr>
            </w:pPr>
            <w:r>
              <w:rPr>
                <w:rFonts w:ascii="Verdana" w:cs="Verdana" w:eastAsia="Verdana" w:hAnsi="Verdana"/>
                <w:sz w:val="15"/>
                <w:szCs w:val="15"/>
                <w:color w:val="auto"/>
              </w:rPr>
              <w:t>(0.65)</w:t>
            </w:r>
          </w:p>
        </w:tc>
        <w:tc>
          <w:tcPr>
            <w:tcW w:w="100" w:type="dxa"/>
            <w:vAlign w:val="bottom"/>
          </w:tcPr>
          <w:p>
            <w:pPr>
              <w:spacing w:after="0"/>
              <w:rPr>
                <w:sz w:val="24"/>
                <w:szCs w:val="24"/>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spacing w:after="0"/>
              <w:rPr>
                <w:sz w:val="20"/>
                <w:szCs w:val="20"/>
                <w:color w:val="auto"/>
              </w:rPr>
            </w:pPr>
            <w:r>
              <w:rPr>
                <w:rFonts w:ascii="Verdana" w:cs="Verdana" w:eastAsia="Verdana" w:hAnsi="Verdana"/>
                <w:sz w:val="15"/>
                <w:szCs w:val="15"/>
                <w:color w:val="auto"/>
              </w:rPr>
              <w:t>(0.70)</w:t>
            </w:r>
          </w:p>
        </w:tc>
        <w:tc>
          <w:tcPr>
            <w:tcW w:w="10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spacing w:after="0"/>
              <w:rPr>
                <w:sz w:val="20"/>
                <w:szCs w:val="20"/>
                <w:color w:val="auto"/>
              </w:rPr>
            </w:pPr>
            <w:r>
              <w:rPr>
                <w:rFonts w:ascii="Verdana" w:cs="Verdana" w:eastAsia="Verdana" w:hAnsi="Verdana"/>
                <w:sz w:val="15"/>
                <w:szCs w:val="15"/>
                <w:color w:val="auto"/>
              </w:rPr>
              <w:t>(0.31)</w:t>
            </w:r>
          </w:p>
        </w:tc>
        <w:tc>
          <w:tcPr>
            <w:tcW w:w="100" w:type="dxa"/>
            <w:vAlign w:val="bottom"/>
          </w:tcPr>
          <w:p>
            <w:pPr>
              <w:spacing w:after="0"/>
              <w:rPr>
                <w:sz w:val="24"/>
                <w:szCs w:val="24"/>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spacing w:after="0"/>
              <w:rPr>
                <w:sz w:val="20"/>
                <w:szCs w:val="20"/>
                <w:color w:val="auto"/>
              </w:rPr>
            </w:pPr>
            <w:r>
              <w:rPr>
                <w:rFonts w:ascii="Verdana" w:cs="Verdana" w:eastAsia="Verdana" w:hAnsi="Verdana"/>
                <w:sz w:val="15"/>
                <w:szCs w:val="15"/>
                <w:color w:val="auto"/>
              </w:rPr>
              <w:t>(0.50)</w:t>
            </w:r>
          </w:p>
        </w:tc>
      </w:tr>
      <w:tr>
        <w:trPr>
          <w:trHeight w:val="197"/>
        </w:trPr>
        <w:tc>
          <w:tcPr>
            <w:tcW w:w="5260" w:type="dxa"/>
            <w:vAlign w:val="bottom"/>
          </w:tcPr>
          <w:p>
            <w:pPr>
              <w:spacing w:after="0"/>
              <w:rPr>
                <w:sz w:val="20"/>
                <w:szCs w:val="20"/>
                <w:color w:val="auto"/>
              </w:rPr>
            </w:pPr>
            <w:r>
              <w:rPr>
                <w:rFonts w:ascii="Verdana" w:cs="Verdana" w:eastAsia="Verdana" w:hAnsi="Verdana"/>
                <w:sz w:val="15"/>
                <w:szCs w:val="15"/>
                <w:color w:val="auto"/>
              </w:rPr>
              <w:t>Cash settled basis swaps ($/Mcf)</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0.01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0.02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(0.11)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(0.02)</w:t>
            </w:r>
          </w:p>
        </w:tc>
      </w:tr>
      <w:tr>
        <w:trPr>
          <w:trHeight w:val="196"/>
        </w:trPr>
        <w:tc>
          <w:tcPr>
            <w:tcW w:w="5260" w:type="dxa"/>
            <w:vAlign w:val="bottom"/>
          </w:tcPr>
          <w:p>
            <w:pPr>
              <w:ind w:left="100"/>
              <w:spacing w:after="0"/>
              <w:rPr>
                <w:sz w:val="20"/>
                <w:szCs w:val="20"/>
                <w:color w:val="auto"/>
              </w:rPr>
            </w:pPr>
            <w:r>
              <w:rPr>
                <w:rFonts w:ascii="Verdana" w:cs="Verdana" w:eastAsia="Verdana" w:hAnsi="Verdana"/>
                <w:sz w:val="15"/>
                <w:szCs w:val="15"/>
                <w:color w:val="auto"/>
              </w:rPr>
              <w:t>Average differential, including cash settled basis swaps ($/Mcf)</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(0.64)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(0.42)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(0.52)</w:t>
            </w:r>
          </w:p>
        </w:tc>
      </w:tr>
      <w:tr>
        <w:trPr>
          <w:trHeight w:val="202"/>
        </w:trPr>
        <w:tc>
          <w:tcPr>
            <w:tcW w:w="5260" w:type="dxa"/>
            <w:vAlign w:val="bottom"/>
          </w:tcPr>
          <w:p>
            <w:pPr>
              <w:spacing w:after="0"/>
              <w:rPr>
                <w:sz w:val="20"/>
                <w:szCs w:val="20"/>
                <w:color w:val="auto"/>
              </w:rPr>
            </w:pPr>
            <w:r>
              <w:rPr>
                <w:rFonts w:ascii="Verdana" w:cs="Verdana" w:eastAsia="Verdana" w:hAnsi="Verdana"/>
                <w:sz w:val="15"/>
                <w:szCs w:val="15"/>
                <w:color w:val="auto"/>
              </w:rPr>
              <w:t>Average adjusted price ($/Mcf)</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3.04</w:t>
            </w:r>
          </w:p>
        </w:tc>
      </w:tr>
      <w:tr>
        <w:trPr>
          <w:trHeight w:val="197"/>
        </w:trPr>
        <w:tc>
          <w:tcPr>
            <w:tcW w:w="5260" w:type="dxa"/>
            <w:vAlign w:val="bottom"/>
          </w:tcPr>
          <w:p>
            <w:pPr>
              <w:spacing w:after="0"/>
              <w:rPr>
                <w:sz w:val="20"/>
                <w:szCs w:val="20"/>
                <w:color w:val="auto"/>
              </w:rPr>
            </w:pPr>
            <w:r>
              <w:rPr>
                <w:rFonts w:ascii="Verdana" w:cs="Verdana" w:eastAsia="Verdana" w:hAnsi="Verdana"/>
                <w:sz w:val="15"/>
                <w:szCs w:val="15"/>
                <w:color w:val="auto"/>
              </w:rPr>
              <w:t>Cash settled derivatives ($/Mcf)</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0.02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(0.05)</w:t>
            </w:r>
          </w:p>
        </w:tc>
      </w:tr>
      <w:tr>
        <w:trPr>
          <w:trHeight w:val="142"/>
        </w:trPr>
        <w:tc>
          <w:tcPr>
            <w:tcW w:w="5260" w:type="dxa"/>
            <w:vAlign w:val="bottom"/>
          </w:tcPr>
          <w:p>
            <w:pPr>
              <w:ind w:left="120"/>
              <w:spacing w:after="0" w:line="142" w:lineRule="exact"/>
              <w:rPr>
                <w:sz w:val="20"/>
                <w:szCs w:val="20"/>
                <w:color w:val="auto"/>
              </w:rPr>
            </w:pPr>
            <w:r>
              <w:rPr>
                <w:rFonts w:ascii="Verdana" w:cs="Verdana" w:eastAsia="Verdana" w:hAnsi="Verdana"/>
                <w:sz w:val="15"/>
                <w:szCs w:val="15"/>
                <w:color w:val="auto"/>
              </w:rPr>
              <w:t>Average natural gas price, including cash settled derivatives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8"/>
        </w:trPr>
        <w:tc>
          <w:tcPr>
            <w:tcW w:w="5260" w:type="dxa"/>
            <w:vAlign w:val="bottom"/>
          </w:tcPr>
          <w:p>
            <w:pPr>
              <w:ind w:left="120"/>
              <w:spacing w:after="0"/>
              <w:rPr>
                <w:sz w:val="20"/>
                <w:szCs w:val="20"/>
                <w:color w:val="auto"/>
              </w:rPr>
            </w:pPr>
            <w:r>
              <w:rPr>
                <w:rFonts w:ascii="Verdana" w:cs="Verdana" w:eastAsia="Verdana" w:hAnsi="Verdana"/>
                <w:sz w:val="15"/>
                <w:szCs w:val="15"/>
                <w:color w:val="auto"/>
              </w:rPr>
              <w:t>($/Mcf)</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2.60</w:t>
            </w:r>
          </w:p>
        </w:tc>
        <w:tc>
          <w:tcPr>
            <w:tcW w:w="100" w:type="dxa"/>
            <w:vAlign w:val="bottom"/>
          </w:tcPr>
          <w:p>
            <w:pPr>
              <w:spacing w:after="0"/>
              <w:rPr>
                <w:sz w:val="18"/>
                <w:szCs w:val="18"/>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2.66</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3.40</w:t>
            </w:r>
          </w:p>
        </w:tc>
        <w:tc>
          <w:tcPr>
            <w:tcW w:w="100" w:type="dxa"/>
            <w:vAlign w:val="bottom"/>
          </w:tcPr>
          <w:p>
            <w:pPr>
              <w:spacing w:after="0"/>
              <w:rPr>
                <w:sz w:val="18"/>
                <w:szCs w:val="18"/>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2.99</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Natural gas sales, including cash settled derivatives</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1,417,219</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1,586,374</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5,865,609</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4,987,247</w:t>
            </w:r>
          </w:p>
        </w:tc>
      </w:tr>
      <w:tr>
        <w:trPr>
          <w:trHeight w:val="419"/>
        </w:trPr>
        <w:tc>
          <w:tcPr>
            <w:tcW w:w="5260" w:type="dxa"/>
            <w:vAlign w:val="bottom"/>
          </w:tcPr>
          <w:p>
            <w:pPr>
              <w:spacing w:after="0"/>
              <w:rPr>
                <w:sz w:val="20"/>
                <w:szCs w:val="20"/>
                <w:color w:val="auto"/>
              </w:rPr>
            </w:pPr>
            <w:r>
              <w:rPr>
                <w:rFonts w:ascii="Verdana" w:cs="Verdana" w:eastAsia="Verdana" w:hAnsi="Verdana"/>
                <w:sz w:val="15"/>
                <w:szCs w:val="15"/>
                <w:b w:val="1"/>
                <w:bCs w:val="1"/>
                <w:color w:val="auto"/>
              </w:rPr>
              <w:t>LIQUIDS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b w:val="1"/>
                <w:bCs w:val="1"/>
                <w:i w:val="1"/>
                <w:iCs w:val="1"/>
                <w:color w:val="auto"/>
              </w:rPr>
              <w:t>NGLs, excluding ethane:</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(MMcfe) (b)</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21,025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23,650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62,334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66,997</w:t>
            </w:r>
          </w:p>
        </w:tc>
      </w:tr>
      <w:tr>
        <w:trPr>
          <w:trHeight w:val="202"/>
        </w:trPr>
        <w:tc>
          <w:tcPr>
            <w:tcW w:w="5260" w:type="dxa"/>
            <w:vAlign w:val="bottom"/>
          </w:tcPr>
          <w:p>
            <w:pPr>
              <w:spacing w:after="0"/>
              <w:rPr>
                <w:sz w:val="20"/>
                <w:szCs w:val="20"/>
                <w:color w:val="auto"/>
              </w:rPr>
            </w:pPr>
            <w:r>
              <w:rPr>
                <w:rFonts w:ascii="Verdana" w:cs="Verdana" w:eastAsia="Verdana" w:hAnsi="Verdana"/>
                <w:sz w:val="15"/>
                <w:szCs w:val="15"/>
                <w:color w:val="auto"/>
              </w:rPr>
              <w:t>Sales volume (Mbbl)</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3,504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3,942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10,389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11,166</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NGL price ($/Bbl)</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36.73</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31.82</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38.08</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37.12</w:t>
            </w:r>
          </w:p>
        </w:tc>
      </w:tr>
      <w:tr>
        <w:trPr>
          <w:trHeight w:val="197"/>
        </w:trPr>
        <w:tc>
          <w:tcPr>
            <w:tcW w:w="5260" w:type="dxa"/>
            <w:vAlign w:val="bottom"/>
          </w:tcPr>
          <w:p>
            <w:pPr>
              <w:spacing w:after="0"/>
              <w:rPr>
                <w:sz w:val="20"/>
                <w:szCs w:val="20"/>
                <w:color w:val="auto"/>
              </w:rPr>
            </w:pPr>
            <w:r>
              <w:rPr>
                <w:rFonts w:ascii="Verdana" w:cs="Verdana" w:eastAsia="Verdana" w:hAnsi="Verdana"/>
                <w:sz w:val="15"/>
                <w:szCs w:val="15"/>
                <w:color w:val="auto"/>
              </w:rPr>
              <w:t>Cash settled derivatives ($/Bbl)</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5"/>
                <w:szCs w:val="15"/>
                <w:color w:val="auto"/>
              </w:rPr>
              <w:t>0.70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5"/>
                <w:szCs w:val="15"/>
                <w:color w:val="auto"/>
              </w:rPr>
              <w:t>(0.21)</w:t>
            </w:r>
          </w:p>
        </w:tc>
      </w:tr>
      <w:tr>
        <w:trPr>
          <w:trHeight w:val="201"/>
        </w:trPr>
        <w:tc>
          <w:tcPr>
            <w:tcW w:w="5260" w:type="dxa"/>
            <w:vAlign w:val="bottom"/>
          </w:tcPr>
          <w:p>
            <w:pPr>
              <w:ind w:left="120"/>
              <w:spacing w:after="0"/>
              <w:rPr>
                <w:sz w:val="20"/>
                <w:szCs w:val="20"/>
                <w:color w:val="auto"/>
              </w:rPr>
            </w:pPr>
            <w:r>
              <w:rPr>
                <w:rFonts w:ascii="Verdana" w:cs="Verdana" w:eastAsia="Verdana" w:hAnsi="Verdana"/>
                <w:sz w:val="15"/>
                <w:szCs w:val="15"/>
                <w:color w:val="auto"/>
              </w:rPr>
              <w:t>Average NGL price, including cash settled derivatives ($/Bbl)</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36.42</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32.52</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37.90</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36.91</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NGL sales, including cash settled derivatives</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127,636</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128,183</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393,789</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412,206</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b w:val="1"/>
                <w:bCs w:val="1"/>
                <w:i w:val="1"/>
                <w:iCs w:val="1"/>
                <w:color w:val="auto"/>
              </w:rPr>
              <w:t>Ethane:</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(MMcfe) (b)</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14,923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12,157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41,561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32,759</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(Mbbl)</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2,488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6,927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5,460</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Ethane price ($/Bbl)</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6.52</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6.86</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8.56</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8.01</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Ethane sales</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16,223</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13,901</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59,312</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43,730</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b w:val="1"/>
                <w:bCs w:val="1"/>
                <w:i w:val="1"/>
                <w:iCs w:val="1"/>
                <w:color w:val="auto"/>
              </w:rPr>
              <w:t>Oil:</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(MMcfe) (b)</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2,318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2,946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8,233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7,196</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Sales volume (Mbbl)</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491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1,372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1,199</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Oil price ($/Bbl)</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65.51</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49.12</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63.09</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51.09</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Oil sales</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25,308</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24,119</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86,577</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61,270</w:t>
            </w:r>
          </w:p>
        </w:tc>
      </w:tr>
      <w:tr>
        <w:trPr>
          <w:trHeight w:val="418"/>
        </w:trPr>
        <w:tc>
          <w:tcPr>
            <w:tcW w:w="5260" w:type="dxa"/>
            <w:vAlign w:val="bottom"/>
          </w:tcPr>
          <w:p>
            <w:pPr>
              <w:spacing w:after="0"/>
              <w:rPr>
                <w:sz w:val="20"/>
                <w:szCs w:val="20"/>
                <w:color w:val="auto"/>
              </w:rPr>
            </w:pPr>
            <w:r>
              <w:rPr>
                <w:rFonts w:ascii="Verdana" w:cs="Verdana" w:eastAsia="Verdana" w:hAnsi="Verdana"/>
                <w:sz w:val="15"/>
                <w:szCs w:val="15"/>
                <w:color w:val="auto"/>
              </w:rPr>
              <w:t>Total liquids sales volume (MMcfe) (b)</w:t>
            </w:r>
          </w:p>
        </w:tc>
        <w:tc>
          <w:tcPr>
            <w:tcW w:w="3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38,266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38,753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112,128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106,952</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Total liquids sales volume (Mbbl)</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6,378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6,459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18,688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17,825</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Total liquids sales</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169,167</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166,203</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539,678</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517,206</w:t>
            </w:r>
          </w:p>
        </w:tc>
      </w:tr>
      <w:tr>
        <w:trPr>
          <w:trHeight w:val="418"/>
        </w:trPr>
        <w:tc>
          <w:tcPr>
            <w:tcW w:w="5260" w:type="dxa"/>
            <w:vAlign w:val="bottom"/>
          </w:tcPr>
          <w:p>
            <w:pPr>
              <w:spacing w:after="0"/>
              <w:rPr>
                <w:sz w:val="20"/>
                <w:szCs w:val="20"/>
                <w:color w:val="auto"/>
              </w:rPr>
            </w:pPr>
            <w:r>
              <w:rPr>
                <w:rFonts w:ascii="Verdana" w:cs="Verdana" w:eastAsia="Verdana" w:hAnsi="Verdana"/>
                <w:sz w:val="15"/>
                <w:szCs w:val="15"/>
                <w:b w:val="1"/>
                <w:bCs w:val="1"/>
                <w:color w:val="auto"/>
              </w:rPr>
              <w:t>TOTAL</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7"/>
        </w:trPr>
        <w:tc>
          <w:tcPr>
            <w:tcW w:w="5260" w:type="dxa"/>
            <w:vAlign w:val="bottom"/>
          </w:tcPr>
          <w:p>
            <w:pPr>
              <w:spacing w:after="0" w:line="157" w:lineRule="exact"/>
              <w:rPr>
                <w:sz w:val="20"/>
                <w:szCs w:val="20"/>
                <w:color w:val="auto"/>
              </w:rPr>
            </w:pPr>
            <w:r>
              <w:rPr>
                <w:rFonts w:ascii="Verdana" w:cs="Verdana" w:eastAsia="Verdana" w:hAnsi="Verdana"/>
                <w:sz w:val="15"/>
                <w:szCs w:val="15"/>
                <w:color w:val="auto"/>
              </w:rPr>
              <w:t>Total natural gas and liquids sales, including cash settled</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8"/>
        </w:trPr>
        <w:tc>
          <w:tcPr>
            <w:tcW w:w="5260" w:type="dxa"/>
            <w:vAlign w:val="bottom"/>
          </w:tcPr>
          <w:p>
            <w:pPr>
              <w:spacing w:after="0"/>
              <w:rPr>
                <w:sz w:val="20"/>
                <w:szCs w:val="20"/>
                <w:color w:val="auto"/>
              </w:rPr>
            </w:pPr>
            <w:r>
              <w:rPr>
                <w:rFonts w:ascii="Verdana" w:cs="Verdana" w:eastAsia="Verdana" w:hAnsi="Verdana"/>
                <w:sz w:val="15"/>
                <w:szCs w:val="15"/>
                <w:color w:val="auto"/>
              </w:rPr>
              <w:t>derivatives (c)</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1,586,386</w:t>
            </w:r>
          </w:p>
        </w:tc>
        <w:tc>
          <w:tcPr>
            <w:tcW w:w="100" w:type="dxa"/>
            <w:vAlign w:val="bottom"/>
          </w:tcPr>
          <w:p>
            <w:pPr>
              <w:spacing w:after="0"/>
              <w:rPr>
                <w:sz w:val="18"/>
                <w:szCs w:val="18"/>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1,752,577</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6,405,287</w:t>
            </w:r>
          </w:p>
        </w:tc>
        <w:tc>
          <w:tcPr>
            <w:tcW w:w="100" w:type="dxa"/>
            <w:vAlign w:val="bottom"/>
          </w:tcPr>
          <w:p>
            <w:pPr>
              <w:spacing w:after="0"/>
              <w:rPr>
                <w:sz w:val="18"/>
                <w:szCs w:val="18"/>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5,504,453</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Total sales volume (MMcfe)</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582,802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634,395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1,834,975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1,773,373</w:t>
            </w:r>
          </w:p>
        </w:tc>
      </w:tr>
      <w:tr>
        <w:trPr>
          <w:trHeight w:val="203"/>
        </w:trPr>
        <w:tc>
          <w:tcPr>
            <w:tcW w:w="5260" w:type="dxa"/>
            <w:vAlign w:val="bottom"/>
          </w:tcPr>
          <w:p>
            <w:pPr>
              <w:spacing w:after="0"/>
              <w:rPr>
                <w:sz w:val="20"/>
                <w:szCs w:val="20"/>
                <w:color w:val="auto"/>
              </w:rPr>
            </w:pPr>
            <w:r>
              <w:rPr>
                <w:rFonts w:ascii="Verdana" w:cs="Verdana" w:eastAsia="Verdana" w:hAnsi="Verdana"/>
                <w:sz w:val="15"/>
                <w:szCs w:val="15"/>
                <w:color w:val="auto"/>
              </w:rPr>
              <w:t>Average realized price ($/Mcfe)</w:t>
            </w: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2.72</w:t>
            </w:r>
          </w:p>
        </w:tc>
        <w:tc>
          <w:tcPr>
            <w:tcW w:w="100" w:type="dxa"/>
            <w:vAlign w:val="bottom"/>
          </w:tcPr>
          <w:p>
            <w:pPr>
              <w:spacing w:after="0"/>
              <w:rPr>
                <w:sz w:val="17"/>
                <w:szCs w:val="17"/>
                <w:color w:val="auto"/>
              </w:rPr>
            </w:pPr>
          </w:p>
        </w:tc>
        <w:tc>
          <w:tcPr>
            <w:tcW w:w="340" w:type="dxa"/>
            <w:vAlign w:val="bottom"/>
          </w:tcPr>
          <w:p>
            <w:pPr>
              <w:jc w:val="right"/>
              <w:ind w:right="144"/>
              <w:spacing w:after="0"/>
              <w:rPr>
                <w:sz w:val="20"/>
                <w:szCs w:val="20"/>
                <w:color w:val="auto"/>
              </w:rPr>
            </w:pPr>
            <w:r>
              <w:rPr>
                <w:rFonts w:ascii="Verdana" w:cs="Verdana" w:eastAsia="Verdana" w:hAnsi="Verdana"/>
                <w:sz w:val="15"/>
                <w:szCs w:val="15"/>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5"/>
                <w:szCs w:val="15"/>
                <w:color w:val="auto"/>
              </w:rPr>
              <w:t>2.76</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Verdana" w:cs="Verdana" w:eastAsia="Verdana" w:hAnsi="Verdana"/>
                <w:sz w:val="15"/>
                <w:szCs w:val="15"/>
                <w:color w:val="auto"/>
                <w:w w:val="82"/>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3.49</w:t>
            </w:r>
          </w:p>
        </w:tc>
        <w:tc>
          <w:tcPr>
            <w:tcW w:w="100" w:type="dxa"/>
            <w:vAlign w:val="bottom"/>
          </w:tcPr>
          <w:p>
            <w:pPr>
              <w:spacing w:after="0"/>
              <w:rPr>
                <w:sz w:val="17"/>
                <w:szCs w:val="17"/>
                <w:color w:val="auto"/>
              </w:rPr>
            </w:pPr>
          </w:p>
        </w:tc>
        <w:tc>
          <w:tcPr>
            <w:tcW w:w="280" w:type="dxa"/>
            <w:vAlign w:val="bottom"/>
          </w:tcPr>
          <w:p>
            <w:pPr>
              <w:jc w:val="right"/>
              <w:ind w:right="84"/>
              <w:spacing w:after="0"/>
              <w:rPr>
                <w:sz w:val="20"/>
                <w:szCs w:val="20"/>
                <w:color w:val="auto"/>
              </w:rPr>
            </w:pPr>
            <w:r>
              <w:rPr>
                <w:rFonts w:ascii="Verdana" w:cs="Verdana" w:eastAsia="Verdana" w:hAnsi="Verdana"/>
                <w:sz w:val="15"/>
                <w:szCs w:val="15"/>
                <w:color w:val="auto"/>
              </w:rPr>
              <w:t>$</w:t>
            </w:r>
          </w:p>
        </w:tc>
        <w:tc>
          <w:tcPr>
            <w:tcW w:w="1020" w:type="dxa"/>
            <w:vAlign w:val="bottom"/>
          </w:tcPr>
          <w:p>
            <w:pPr>
              <w:jc w:val="right"/>
              <w:ind w:right="4"/>
              <w:spacing w:after="0"/>
              <w:rPr>
                <w:sz w:val="20"/>
                <w:szCs w:val="20"/>
                <w:color w:val="auto"/>
              </w:rPr>
            </w:pPr>
            <w:r>
              <w:rPr>
                <w:rFonts w:ascii="Verdana" w:cs="Verdana" w:eastAsia="Verdana" w:hAnsi="Verdana"/>
                <w:sz w:val="15"/>
                <w:szCs w:val="15"/>
                <w:color w:val="auto"/>
              </w:rPr>
              <w:t>3.10</w:t>
            </w:r>
          </w:p>
        </w:tc>
      </w:tr>
    </w:tbl>
    <w:p>
      <w:pPr>
        <w:spacing w:after="0" w:line="309" w:lineRule="exact"/>
        <w:rPr>
          <w:sz w:val="20"/>
          <w:szCs w:val="20"/>
          <w:color w:val="auto"/>
        </w:rPr>
      </w:pPr>
    </w:p>
    <w:p>
      <w:pPr>
        <w:ind w:left="640" w:hanging="328"/>
        <w:spacing w:after="0" w:line="247" w:lineRule="auto"/>
        <w:tabs>
          <w:tab w:leader="none" w:pos="627" w:val="left"/>
        </w:tabs>
        <w:numPr>
          <w:ilvl w:val="0"/>
          <w:numId w:val="18"/>
        </w:numPr>
        <w:rPr>
          <w:rFonts w:ascii="Verdana" w:cs="Verdana" w:eastAsia="Verdana" w:hAnsi="Verdana"/>
          <w:sz w:val="14"/>
          <w:szCs w:val="14"/>
          <w:color w:val="auto"/>
        </w:rPr>
      </w:pPr>
      <w:r>
        <w:rPr>
          <w:rFonts w:ascii="Verdana" w:cs="Verdana" w:eastAsia="Verdana" w:hAnsi="Verdana"/>
          <w:sz w:val="14"/>
          <w:szCs w:val="14"/>
          <w:color w:val="auto"/>
        </w:rPr>
        <w:t>Basis represents the difference between the ultimate sales price for natural gas, including the effects of delivered price benefit or deficit associated with the Company's firm transportation agreements, and the NYMEX natural gas price.</w:t>
      </w:r>
    </w:p>
    <w:p>
      <w:pPr>
        <w:ind w:left="620" w:hanging="308"/>
        <w:spacing w:after="0"/>
        <w:tabs>
          <w:tab w:leader="none" w:pos="620" w:val="left"/>
        </w:tabs>
        <w:numPr>
          <w:ilvl w:val="0"/>
          <w:numId w:val="18"/>
        </w:numPr>
        <w:rPr>
          <w:rFonts w:ascii="Verdana" w:cs="Verdana" w:eastAsia="Verdana" w:hAnsi="Verdana"/>
          <w:sz w:val="14"/>
          <w:szCs w:val="14"/>
          <w:color w:val="auto"/>
        </w:rPr>
      </w:pPr>
      <w:r>
        <w:rPr>
          <w:rFonts w:ascii="Verdana" w:cs="Verdana" w:eastAsia="Verdana" w:hAnsi="Verdana"/>
          <w:sz w:val="14"/>
          <w:szCs w:val="14"/>
          <w:color w:val="auto"/>
        </w:rPr>
        <w:t>NGLs, ethane and oil were converted to Mcfe at a rate of six Mcfe per barrel.</w:t>
      </w:r>
    </w:p>
    <w:p>
      <w:pPr>
        <w:spacing w:after="0" w:line="5" w:lineRule="exact"/>
        <w:rPr>
          <w:rFonts w:ascii="Verdana" w:cs="Verdana" w:eastAsia="Verdana" w:hAnsi="Verdana"/>
          <w:sz w:val="14"/>
          <w:szCs w:val="14"/>
          <w:color w:val="auto"/>
        </w:rPr>
      </w:pPr>
    </w:p>
    <w:p>
      <w:pPr>
        <w:ind w:left="620" w:hanging="308"/>
        <w:spacing w:after="0"/>
        <w:tabs>
          <w:tab w:leader="none" w:pos="620" w:val="left"/>
        </w:tabs>
        <w:numPr>
          <w:ilvl w:val="0"/>
          <w:numId w:val="18"/>
        </w:numPr>
        <w:rPr>
          <w:rFonts w:ascii="Verdana" w:cs="Verdana" w:eastAsia="Verdana" w:hAnsi="Verdana"/>
          <w:sz w:val="14"/>
          <w:szCs w:val="14"/>
          <w:color w:val="auto"/>
        </w:rPr>
      </w:pPr>
      <w:r>
        <w:rPr>
          <w:rFonts w:ascii="Verdana" w:cs="Verdana" w:eastAsia="Verdana" w:hAnsi="Verdana"/>
          <w:sz w:val="14"/>
          <w:szCs w:val="14"/>
          <w:color w:val="auto"/>
        </w:rPr>
        <w:t>Also referred to herein as Upstream adjusted operating revenues, a non-GAAP supplemental financial measure.</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Verdana" w:cs="Verdana" w:eastAsia="Verdana" w:hAnsi="Verdana"/>
          <w:sz w:val="18"/>
          <w:szCs w:val="18"/>
          <w:color w:val="auto"/>
        </w:rPr>
        <w:t>18</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2026-10-27T16:01:21Z</dcterms:created>
  <dcterms:modified xsi:type="dcterms:W3CDTF">2026-10-27T16:01:21Z</dcterms:modified>
</cp:coreProperties>
</file>