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gif" ContentType="image/gif"/>
  <Override PartName="/word/media/image3.gif" ContentType="image/gif"/>
  <Override PartName="/word/media/image4.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rrc-20251231.htm"/>
      <w:bookmarkStart w:id="1" w:name="ksrrc20251231"/>
      <w:bookmarkEnd w:id="0"/>
      <w:bookmarkEnd w:id="1"/>
      <w:r>
        <w:drawing>
          <wp:anchor behindDoc="0" distT="0" distB="0" distL="0" distR="0" simplePos="0" locked="0" layoutInCell="1" allowOverlap="1" relativeHeight="6">
            <wp:simplePos x="0" y="0"/>
            <wp:positionH relativeFrom="page">
              <wp:posOffset>0</wp:posOffset>
            </wp:positionH>
            <wp:positionV relativeFrom="page">
              <wp:posOffset>9239250</wp:posOffset>
            </wp:positionV>
            <wp:extent cx="7772400" cy="731520"/>
            <wp:effectExtent l="0" t="0" r="0" b="0"/>
            <wp:wrapNone/>
            <wp:docPr id="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3" descr=""/>
                    <pic:cNvPicPr>
                      <a:picLocks noChangeAspect="1" noChangeArrowheads="1"/>
                    </pic:cNvPicPr>
                  </pic:nvPicPr>
                  <pic:blipFill>
                    <a:blip r:embed="rId2"/>
                    <a:stretch>
                      <a:fillRect/>
                    </a:stretch>
                  </pic:blipFill>
                  <pic:spPr bwMode="auto">
                    <a:xfrm>
                      <a:off x="0" y="0"/>
                      <a:ext cx="7772400" cy="731520"/>
                    </a:xfrm>
                    <a:prstGeom prst="rect">
                      <a:avLst/>
                    </a:prstGeom>
                  </pic:spPr>
                </pic:pic>
              </a:graphicData>
            </a:graphic>
          </wp:anchor>
        </w:drawing>
        <w:drawing>
          <wp:anchor behindDoc="0" distT="0" distB="0" distL="0" distR="0" simplePos="0" locked="0" layoutInCell="1" allowOverlap="1" relativeHeight="2">
            <wp:simplePos x="0" y="0"/>
            <wp:positionH relativeFrom="page">
              <wp:posOffset>638175</wp:posOffset>
            </wp:positionH>
            <wp:positionV relativeFrom="page">
              <wp:posOffset>647700</wp:posOffset>
            </wp:positionV>
            <wp:extent cx="6428105" cy="685800"/>
            <wp:effectExtent l="0" t="0" r="0" b="0"/>
            <wp:wrapNone/>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428105" cy="685800"/>
                    </a:xfrm>
                    <a:prstGeom prst="rect">
                      <a:avLst/>
                    </a:prstGeom>
                  </pic:spPr>
                </pic:pic>
              </a:graphicData>
            </a:graphic>
          </wp:anchor>
        </w:drawing>
      </w:r>
      <w:r>
        <w:rPr/>
        <w:t> </w:t>
      </w:r>
    </w:p>
    <w:p>
      <w:pPr>
        <w:pStyle w:val="TextBody"/>
        <w:bidi w:val="0"/>
        <w:jc w:val="center"/>
        <w:rPr>
          <w:rFonts w:ascii="Times New Roman" w:hAnsi="Times New Roman"/>
          <w:b/>
          <w:color w:val="000000"/>
          <w:sz w:val="24"/>
        </w:rPr>
      </w:pPr>
      <w:r>
        <w:rPr>
          <w:rFonts w:ascii="Times New Roman" w:hAnsi="Times New Roman"/>
          <w:b/>
          <w:color w:val="000000"/>
          <w:sz w:val="24"/>
        </w:rPr>
        <w:t>UNITED STATES</w:t>
      </w:r>
    </w:p>
    <w:p>
      <w:pPr>
        <w:pStyle w:val="TextBody"/>
        <w:bidi w:val="0"/>
        <w:jc w:val="center"/>
        <w:rPr>
          <w:rFonts w:ascii="Times New Roman" w:hAnsi="Times New Roman"/>
          <w:sz w:val="20"/>
        </w:rPr>
      </w:pPr>
      <w:r>
        <w:rPr>
          <w:rFonts w:ascii="Times New Roman" w:hAnsi="Times New Roman"/>
          <w:b/>
          <w:color w:val="000000"/>
          <w:sz w:val="24"/>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8"/>
        </w:rPr>
        <w:t>WASHINGTON, D.C. 20549</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80" w:after="283"/>
        <w:jc w:val="center"/>
        <w:rPr>
          <w:rFonts w:ascii="Times New Roman" w:hAnsi="Times New Roman"/>
          <w:b/>
          <w:color w:val="000000"/>
          <w:sz w:val="28"/>
        </w:rPr>
      </w:pPr>
      <w:r>
        <w:rPr>
          <w:rFonts w:ascii="Times New Roman" w:hAnsi="Times New Roman"/>
          <w:b/>
          <w:color w:val="000000"/>
          <w:sz w:val="28"/>
        </w:rPr>
        <w:t>FORM 10-K</w:t>
      </w:r>
    </w:p>
    <w:p>
      <w:pPr>
        <w:pStyle w:val="TextBody"/>
        <w:bidi w:val="0"/>
        <w:spacing w:before="80" w:after="283"/>
        <w:jc w:val="center"/>
        <w:rPr/>
      </w:pPr>
      <w:r>
        <w:rPr/>
        <w:t> </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b/>
                <w:color w:val="000000"/>
                <w:sz w:val="19"/>
              </w:rPr>
              <w:t>ANNUAL REPORT PURSUANT TO SECTION 13 OR 15(d) OF THE SECURITIES EXCHANGE ACT OF 1934</w:t>
            </w:r>
          </w:p>
        </w:tc>
      </w:tr>
    </w:tbl>
    <w:p>
      <w:pPr>
        <w:pStyle w:val="TextBody"/>
        <w:bidi w:val="0"/>
        <w:jc w:val="center"/>
        <w:rPr>
          <w:rFonts w:ascii="Times New Roman" w:hAnsi="Times New Roman"/>
          <w:b/>
          <w:color w:val="000000"/>
          <w:sz w:val="20"/>
        </w:rPr>
      </w:pPr>
      <w:r>
        <w:rPr>
          <w:rFonts w:ascii="Times New Roman" w:hAnsi="Times New Roman"/>
          <w:b/>
          <w:color w:val="000000"/>
          <w:sz w:val="20"/>
        </w:rPr>
        <w:t>For the fiscal year ended December 31, 2025</w:t>
      </w:r>
    </w:p>
    <w:p>
      <w:pPr>
        <w:pStyle w:val="TextBody"/>
        <w:bidi w:val="0"/>
        <w:jc w:val="center"/>
        <w:rPr>
          <w:rFonts w:ascii="Times New Roman" w:hAnsi="Times New Roman"/>
          <w:sz w:val="20"/>
        </w:rPr>
      </w:pPr>
      <w:r>
        <w:rPr>
          <w:rFonts w:ascii="Times New Roman" w:hAnsi="Times New Roman"/>
          <w:color w:val="000000"/>
          <w:sz w:val="17"/>
        </w:rPr>
        <w:t>OR</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TRANSITION REPORT PURSUANT TO SECTION 13 OR 15(d) OF THE SECURITIES EXCHANGE ACT OF 1934</w:t>
            </w:r>
          </w:p>
        </w:tc>
      </w:tr>
    </w:tbl>
    <w:p>
      <w:pPr>
        <w:pStyle w:val="TextBody"/>
        <w:bidi w:val="0"/>
        <w:jc w:val="center"/>
        <w:rPr/>
      </w:pPr>
      <w:r>
        <w:rPr/>
        <w:t> </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Commission File Number: 001-12209</w:t>
      </w:r>
    </w:p>
    <w:p>
      <w:pPr>
        <w:pStyle w:val="TextBody"/>
        <w:pBdr>
          <w:bottom w:val="single" w:sz="8" w:space="1" w:color="000000"/>
        </w:pBdr>
        <w:bidi w:val="0"/>
        <w:spacing w:before="0" w:after="60"/>
        <w:jc w:val="center"/>
        <w:rPr/>
      </w:pPr>
      <w:r>
        <w:rPr/>
        <w:t> </w:t>
      </w:r>
    </w:p>
    <w:p>
      <w:pPr>
        <w:pStyle w:val="TextBody"/>
        <w:bidi w:val="0"/>
        <w:spacing w:before="20" w:after="283"/>
        <w:jc w:val="center"/>
        <w:rPr>
          <w:rFonts w:ascii="Times New Roman" w:hAnsi="Times New Roman"/>
          <w:b/>
          <w:color w:val="000000"/>
          <w:sz w:val="32"/>
        </w:rPr>
      </w:pPr>
      <w:r>
        <w:rPr>
          <w:rFonts w:ascii="Times New Roman" w:hAnsi="Times New Roman"/>
          <w:b/>
          <w:color w:val="000000"/>
          <w:sz w:val="32"/>
        </w:rPr>
        <w:t>RANGE RESOURCES CORPORATION</w:t>
      </w:r>
    </w:p>
    <w:p>
      <w:pPr>
        <w:pStyle w:val="TextBody"/>
        <w:bidi w:val="0"/>
        <w:jc w:val="center"/>
        <w:rPr>
          <w:rFonts w:ascii="Times New Roman" w:hAnsi="Times New Roman"/>
          <w:sz w:val="20"/>
        </w:rPr>
      </w:pPr>
      <w:r>
        <w:rPr>
          <w:rFonts w:ascii="Times New Roman" w:hAnsi="Times New Roman"/>
          <w:color w:val="000000"/>
          <w:sz w:val="18"/>
        </w:rPr>
        <w:t>(Exact Name of Registrant as Specified in Its Chart</w:t>
      </w:r>
      <w:r>
        <w:rPr>
          <w:rFonts w:ascii="Times New Roman" w:hAnsi="Times New Roman"/>
          <w:color w:val="000000"/>
          <w:sz w:val="20"/>
        </w:rPr>
        <w:t>er)</w:t>
      </w:r>
    </w:p>
    <w:p>
      <w:pPr>
        <w:pStyle w:val="TextBody"/>
        <w:bidi w:val="0"/>
        <w:jc w:val="center"/>
        <w:rPr/>
      </w:pPr>
      <w:r>
        <w:rPr/>
        <w:t> </w:t>
      </w:r>
    </w:p>
    <w:p>
      <w:pPr>
        <w:pStyle w:val="TextBody"/>
        <w:bidi w:val="0"/>
        <w:jc w:val="center"/>
        <w:rPr/>
      </w:pPr>
      <w:r>
        <w:rPr/>
        <w:t> </w:t>
      </w:r>
    </w:p>
    <w:tbl>
      <w:tblPr>
        <w:tblW w:w="8046" w:type="dxa"/>
        <w:jc w:val="left"/>
        <w:tblInd w:w="0" w:type="dxa"/>
        <w:tblLayout w:type="fixed"/>
        <w:tblCellMar>
          <w:top w:w="28" w:type="dxa"/>
          <w:left w:w="28" w:type="dxa"/>
          <w:bottom w:w="28" w:type="dxa"/>
          <w:right w:w="28" w:type="dxa"/>
        </w:tblCellMar>
      </w:tblPr>
      <w:tblGrid>
        <w:gridCol w:w="5041"/>
        <w:gridCol w:w="109"/>
        <w:gridCol w:w="2896"/>
      </w:tblGrid>
      <w:tr>
        <w:trPr/>
        <w:tc>
          <w:tcPr>
            <w:tcW w:w="5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r>
      <w:tr>
        <w:trPr/>
        <w:tc>
          <w:tcPr>
            <w:tcW w:w="5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34-1312571</w:t>
            </w:r>
          </w:p>
        </w:tc>
      </w:tr>
      <w:tr>
        <w:trPr/>
        <w:tc>
          <w:tcPr>
            <w:tcW w:w="5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(State or Other Jurisdiction of Incorporation or Organization)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(IRS Employer Identification No.)</w:t>
            </w:r>
          </w:p>
        </w:tc>
      </w:tr>
      <w:tr>
        <w:trPr/>
        <w:tc>
          <w:tcPr>
            <w:tcW w:w="5041" w:type="dxa"/>
            <w:tcBorders/>
            <w:tcMar>
              <w:top w:w="0" w:type="dxa"/>
              <w:left w:w="0" w:type="dxa"/>
              <w:bottom w:w="0" w:type="dxa"/>
              <w:right w:w="0" w:type="dxa"/>
            </w:tcMar>
            <w:vAlign w:val="center"/>
          </w:tcPr>
          <w:p>
            <w:pPr>
              <w:pStyle w:val="TableContents"/>
              <w:bidi w:val="0"/>
              <w:spacing w:before="0" w:after="283"/>
              <w:jc w:val="left"/>
              <w:rPr/>
            </w:pPr>
            <w:r>
              <w:rPr/>
              <w:t> </w:t>
            </w:r>
          </w:p>
        </w:tc>
        <w:tc>
          <w:tcPr>
            <w:tcW w:w="300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100 Throckmorton Street, Suite 1200, Fort Worth, Texas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76102</w:t>
            </w:r>
          </w:p>
        </w:tc>
      </w:tr>
      <w:tr>
        <w:trPr/>
        <w:tc>
          <w:tcPr>
            <w:tcW w:w="5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(Address of Principal Executive Offices)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(Zip Code)</w:t>
            </w:r>
          </w:p>
        </w:tc>
      </w:tr>
    </w:tbl>
    <w:p>
      <w:pPr>
        <w:pStyle w:val="TextBody"/>
        <w:bidi w:val="0"/>
        <w:spacing w:before="120" w:after="120"/>
        <w:jc w:val="center"/>
        <w:rPr/>
      </w:pPr>
      <w:r>
        <w:rPr/>
        <w:t> </w:t>
      </w:r>
    </w:p>
    <w:p>
      <w:pPr>
        <w:pStyle w:val="TextBody"/>
        <w:bidi w:val="0"/>
        <w:spacing w:before="0" w:after="120"/>
        <w:jc w:val="center"/>
        <w:rPr>
          <w:rFonts w:ascii="Times New Roman" w:hAnsi="Times New Roman"/>
          <w:sz w:val="20"/>
        </w:rPr>
      </w:pPr>
      <w:r>
        <w:rPr>
          <w:rFonts w:ascii="Times New Roman" w:hAnsi="Times New Roman"/>
          <w:color w:val="000000"/>
          <w:sz w:val="20"/>
        </w:rPr>
        <w:t xml:space="preserve">Registrant’s telephone number, including area code </w:t>
      </w:r>
      <w:r>
        <w:rPr>
          <w:rFonts w:ascii="Times New Roman" w:hAnsi="Times New Roman"/>
          <w:b/>
          <w:color w:val="000000"/>
          <w:sz w:val="20"/>
        </w:rPr>
        <w:t>(817) 870-2601</w:t>
      </w:r>
      <w:r>
        <w:rPr>
          <w:rFonts w:ascii="Times New Roman" w:hAnsi="Times New Roman"/>
          <w:color w:val="000000"/>
          <w:sz w:val="20"/>
        </w:rPr>
        <w:t xml:space="preserve"> </w:t>
      </w:r>
    </w:p>
    <w:p>
      <w:pPr>
        <w:pStyle w:val="TextBody"/>
        <w:bidi w:val="0"/>
        <w:spacing w:before="0" w:after="120"/>
        <w:jc w:val="center"/>
        <w:rPr>
          <w:rFonts w:ascii="Times New Roman" w:hAnsi="Times New Roman"/>
          <w:sz w:val="20"/>
        </w:rPr>
      </w:pPr>
      <w:r>
        <w:rPr>
          <w:rFonts w:ascii="Times New Roman" w:hAnsi="Times New Roman"/>
          <w:b/>
          <w:color w:val="000000"/>
          <w:sz w:val="20"/>
        </w:rPr>
        <w:t>Securities registered pursuant to Section 12(b) of the Act:</w:t>
      </w:r>
      <w:r>
        <w:rPr>
          <w:rFonts w:ascii="Times New Roman" w:hAnsi="Times New Roman"/>
          <w:color w:val="000000"/>
          <w:sz w:val="20"/>
        </w:rPr>
        <w:t xml:space="preserve"> </w:t>
      </w:r>
    </w:p>
    <w:tbl>
      <w:tblPr>
        <w:tblW w:w="8208" w:type="dxa"/>
        <w:jc w:val="left"/>
        <w:tblInd w:w="0" w:type="dxa"/>
        <w:tblLayout w:type="fixed"/>
        <w:tblCellMar>
          <w:top w:w="28" w:type="dxa"/>
          <w:left w:w="28" w:type="dxa"/>
          <w:bottom w:w="28" w:type="dxa"/>
          <w:right w:w="28" w:type="dxa"/>
        </w:tblCellMar>
      </w:tblPr>
      <w:tblGrid>
        <w:gridCol w:w="2626"/>
        <w:gridCol w:w="146"/>
        <w:gridCol w:w="1501"/>
        <w:gridCol w:w="109"/>
        <w:gridCol w:w="3826"/>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62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50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26"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26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RRC</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spacing w:before="60" w:after="60"/>
        <w:jc w:val="center"/>
        <w:rPr/>
      </w:pPr>
      <w:r>
        <w:rPr/>
        <w:t> </w:t>
      </w:r>
    </w:p>
    <w:p>
      <w:pPr>
        <w:pStyle w:val="TextBody"/>
        <w:bidi w:val="0"/>
        <w:spacing w:before="0" w:after="60"/>
        <w:jc w:val="center"/>
        <w:rPr>
          <w:rFonts w:ascii="Times New Roman" w:hAnsi="Times New Roman"/>
          <w:sz w:val="20"/>
        </w:rPr>
      </w:pPr>
      <w:r>
        <w:rPr>
          <w:rFonts w:ascii="Times New Roman" w:hAnsi="Times New Roman"/>
          <w:b/>
          <w:color w:val="000000"/>
          <w:sz w:val="20"/>
        </w:rPr>
        <w:t xml:space="preserve">Securities registered pursuant to Section 12(g) of the Act: </w:t>
      </w:r>
      <w:r>
        <w:rPr>
          <w:rFonts w:ascii="Times New Roman" w:hAnsi="Times New Roman"/>
          <w:color w:val="000000"/>
          <w:sz w:val="20"/>
        </w:rPr>
        <w:t xml:space="preserve">None </w:t>
      </w:r>
    </w:p>
    <w:p>
      <w:pPr>
        <w:pStyle w:val="TextBody"/>
        <w:bidi w:val="0"/>
        <w:spacing w:before="120" w:after="180"/>
        <w:jc w:val="left"/>
        <w:rPr>
          <w:rFonts w:ascii="Times New Roman" w:hAnsi="Times New Roman"/>
          <w:color w:val="000000"/>
          <w:sz w:val="20"/>
        </w:rPr>
      </w:pPr>
      <w:r>
        <w:rPr>
          <w:rFonts w:ascii="Times New Roman" w:hAnsi="Times New Roman"/>
          <w:color w:val="000000"/>
          <w:sz w:val="20"/>
        </w:rPr>
        <w:t xml:space="preserve">Indicate by check mark if the registrant is a well-known seasoned issuer, as defined in Rule 405 of the Securities Act. Yes ☒ No ☐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Indicate by check mark if the registrant is not required to file reports pursuant to Section 13 or Section 15(d) of the Act. Yes ☐ No ☒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 No ☐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73" w:type="dxa"/>
        <w:jc w:val="left"/>
        <w:tblInd w:w="0" w:type="dxa"/>
        <w:tblLayout w:type="fixed"/>
        <w:tblCellMar>
          <w:top w:w="28" w:type="dxa"/>
          <w:left w:w="28" w:type="dxa"/>
          <w:bottom w:w="28" w:type="dxa"/>
          <w:right w:w="28" w:type="dxa"/>
        </w:tblCellMar>
      </w:tblPr>
      <w:tblGrid>
        <w:gridCol w:w="1921"/>
        <w:gridCol w:w="146"/>
        <w:gridCol w:w="316"/>
        <w:gridCol w:w="109"/>
        <w:gridCol w:w="2311"/>
        <w:gridCol w:w="109"/>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sz w:val="20"/>
        </w:rPr>
      </w:pPr>
      <w:r>
        <w:rPr>
          <w:rFonts w:ascii="Times New Roman" w:hAnsi="Times New Roman"/>
          <w:color w:val="231F20"/>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0" w:after="180"/>
        <w:jc w:val="left"/>
        <w:rPr>
          <w:rFonts w:ascii="Times New Roman" w:hAnsi="Times New Roman"/>
          <w:sz w:val="20"/>
        </w:rPr>
      </w:pPr>
      <w:r>
        <w:rPr>
          <w:rFonts w:ascii="Times New Roman" w:hAnsi="Times New Roman"/>
          <w:color w:val="231F20"/>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 w:hAnsi="Times New Roman"/>
          <w:color w:val="000000"/>
          <w:sz w:val="2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Indicate by check mark whether the registrant is a shell company (as defined in Rule 12b-2 of the Act). Yes ☐ No ☒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aggregate market value of the voting and non-voting common equity held by non-affiliates as of June 30, 2025 was $9,592,497,000. This amount is based on the closing price of the registrant's common stock on the New York Stock Exchange on the last trading day of the month. Shares of common stock held by executive officers and directors of the registrant and treasury shares held by the registrant are not included in the computation.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As of February 20, 2026, there were 235,381,000 shares of Range Resources Corporation common stock outstanding. </w:t>
      </w:r>
    </w:p>
    <w:p>
      <w:pPr>
        <w:pStyle w:val="TextBody"/>
        <w:bidi w:val="0"/>
        <w:spacing w:before="60" w:after="180"/>
        <w:jc w:val="center"/>
        <w:rPr>
          <w:rFonts w:ascii="Times New Roman" w:hAnsi="Times New Roman"/>
          <w:sz w:val="20"/>
        </w:rPr>
      </w:pPr>
      <w:r>
        <w:rPr>
          <w:rFonts w:ascii="Times New Roman" w:hAnsi="Times New Roman"/>
          <w:b/>
          <w:color w:val="000000"/>
          <w:sz w:val="18"/>
        </w:rPr>
        <w:t>DOCUMENTS INCORPORATED BY REFERENCE</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Portions of the registrant’s definitive proxy statement to be furnished to stockholders in connection with its 2026 Annual Meeting of Stockholders, which will be filed with the Securities and Exchange Commission within 120 days after the end of the fiscal year to which this report relates, are incorporated by reference in Part II, Item 5 and Part III, Items 10-14 of this report.</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360"/>
        <w:jc w:val="center"/>
        <w:rPr>
          <w:rFonts w:ascii="Times New Roman" w:hAnsi="Times New Roman"/>
          <w:sz w:val="20"/>
        </w:rPr>
      </w:pPr>
      <w:r>
        <w:rPr>
          <w:rFonts w:ascii="Times New Roman" w:hAnsi="Times New Roman"/>
          <w:b/>
          <w:caps/>
          <w:color w:val="000000"/>
          <w:sz w:val="20"/>
        </w:rPr>
        <w:t>RANGE RESOURCES CORPORATION</w:t>
      </w:r>
      <w:r>
        <w:rPr>
          <w:rFonts w:ascii="Times New Roman" w:hAnsi="Times New Roman"/>
          <w:caps/>
          <w:color w:val="000000"/>
          <w:sz w:val="20"/>
        </w:rPr>
        <w:t xml:space="preserve"> </w:t>
      </w:r>
    </w:p>
    <w:p>
      <w:pPr>
        <w:pStyle w:val="TextBody"/>
        <w:bidi w:val="0"/>
        <w:spacing w:before="0" w:after="360"/>
        <w:jc w:val="left"/>
        <w:rPr>
          <w:rFonts w:ascii="Times New Roman" w:hAnsi="Times New Roman"/>
          <w:i/>
          <w:color w:val="000000"/>
          <w:sz w:val="20"/>
        </w:rPr>
      </w:pPr>
      <w:r>
        <w:rPr>
          <w:rFonts w:ascii="Times New Roman" w:hAnsi="Times New Roman"/>
          <w:i/>
          <w:color w:val="000000"/>
          <w:sz w:val="20"/>
        </w:rPr>
        <w:t>Unless the context otherwise indicates, all references in this report to "Range," "we," "us" or "our" are to Range Resources Corporation and its directly and indirectly owned subsidiaries. Unless otherwise noted, all information in the report relating to natural gas, natural gas liquids and oil reserves and the estimated future net cash flows attributable to those reserves are based on estimates and are net to our interest. If you are not familiar with the oil and gas terms used in this report, please refer to the explanation of such terms under the caption "Glossary of Certain Defined Terms."</w:t>
      </w:r>
    </w:p>
    <w:p>
      <w:pPr>
        <w:pStyle w:val="TextBody"/>
        <w:bidi w:val="0"/>
        <w:spacing w:before="0" w:after="360"/>
        <w:jc w:val="center"/>
        <w:rPr>
          <w:rFonts w:ascii="Times New Roman" w:hAnsi="Times New Roman"/>
          <w:b/>
          <w:caps/>
          <w:color w:val="000000"/>
          <w:sz w:val="20"/>
        </w:rPr>
      </w:pPr>
      <w:bookmarkStart w:id="2" w:name="toc_page"/>
      <w:bookmarkEnd w:id="2"/>
      <w:r>
        <w:rPr>
          <w:rFonts w:ascii="Times New Roman" w:hAnsi="Times New Roman"/>
          <w:b/>
          <w:caps/>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1240"/>
        <w:gridCol w:w="8393"/>
        <w:gridCol w:w="572"/>
      </w:tblGrid>
      <w:tr>
        <w:trPr/>
        <w:tc>
          <w:tcPr>
            <w:tcW w:w="1240" w:type="dxa"/>
            <w:tcBorders/>
            <w:vAlign w:val="center"/>
          </w:tcPr>
          <w:p>
            <w:pPr>
              <w:pStyle w:val="TableContents"/>
              <w:bidi w:val="0"/>
              <w:spacing w:before="0" w:after="283"/>
              <w:jc w:val="left"/>
              <w:rPr>
                <w:sz w:val="4"/>
                <w:szCs w:val="4"/>
              </w:rPr>
            </w:pPr>
            <w:r>
              <w:rPr>
                <w:sz w:val="4"/>
                <w:szCs w:val="4"/>
              </w:rPr>
            </w:r>
          </w:p>
        </w:tc>
        <w:tc>
          <w:tcPr>
            <w:tcW w:w="8393"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1240" w:type="dxa"/>
            <w:tcBorders/>
            <w:tcMar>
              <w:top w:w="0" w:type="dxa"/>
              <w:left w:w="0" w:type="dxa"/>
              <w:bottom w:w="0" w:type="dxa"/>
              <w:right w:w="0" w:type="dxa"/>
            </w:tcMar>
            <w:vAlign w:val="center"/>
          </w:tcPr>
          <w:p>
            <w:pPr>
              <w:pStyle w:val="TableContents"/>
              <w:bidi w:val="0"/>
              <w:spacing w:before="0" w:after="283"/>
              <w:jc w:val="left"/>
              <w:rPr/>
            </w:pPr>
            <w:r>
              <w:rPr/>
              <w:t> </w:t>
            </w:r>
          </w:p>
        </w:tc>
        <w:tc>
          <w:tcPr>
            <w:tcW w:w="8393"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1240" w:type="dxa"/>
            <w:tcBorders/>
            <w:tcMar>
              <w:top w:w="0" w:type="dxa"/>
              <w:left w:w="0" w:type="dxa"/>
              <w:bottom w:w="0" w:type="dxa"/>
              <w:right w:w="0" w:type="dxa"/>
            </w:tcMar>
            <w:vAlign w:val="center"/>
          </w:tcPr>
          <w:p>
            <w:pPr>
              <w:pStyle w:val="TableContents"/>
              <w:bidi w:val="0"/>
              <w:spacing w:before="0" w:after="283"/>
              <w:jc w:val="left"/>
              <w:rPr/>
            </w:pPr>
            <w:r>
              <w:rPr/>
              <w:t> </w:t>
            </w:r>
          </w:p>
        </w:tc>
        <w:tc>
          <w:tcPr>
            <w:tcW w:w="8393" w:type="dxa"/>
            <w:tcBorders/>
            <w:tcMar>
              <w:top w:w="0" w:type="dxa"/>
              <w:left w:w="0" w:type="dxa"/>
              <w:bottom w:w="0" w:type="dxa"/>
              <w:right w:w="0" w:type="dxa"/>
            </w:tcMar>
            <w:vAlign w:val="center"/>
          </w:tcPr>
          <w:p>
            <w:pPr>
              <w:pStyle w:val="TableContents"/>
              <w:bidi w:val="0"/>
              <w:spacing w:before="0" w:after="283"/>
              <w:jc w:val="left"/>
              <w:rPr/>
            </w:pPr>
            <w:hyperlink w:anchor="glossary">
              <w:r>
                <w:rPr>
                  <w:rStyle w:val="InternetLink"/>
                  <w:rFonts w:ascii="Times New Roman" w:hAnsi="Times New Roman"/>
                  <w:color w:val="0000FF"/>
                  <w:sz w:val="20"/>
                  <w:u w:val="single"/>
                </w:rPr>
                <w:t>Glossary of Certain Defined Terms</w:t>
              </w:r>
            </w:hyperlink>
          </w:p>
        </w:tc>
        <w:tc>
          <w:tcPr>
            <w:tcW w:w="5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iii</w:t>
            </w:r>
          </w:p>
        </w:tc>
      </w:tr>
      <w:tr>
        <w:trPr/>
        <w:tc>
          <w:tcPr>
            <w:tcW w:w="12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393"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2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ITEMS 1. &amp; 2.</w:t>
            </w:r>
          </w:p>
        </w:tc>
        <w:tc>
          <w:tcPr>
            <w:tcW w:w="8393" w:type="dxa"/>
            <w:tcBorders/>
            <w:tcMar>
              <w:top w:w="0" w:type="dxa"/>
              <w:left w:w="0" w:type="dxa"/>
              <w:bottom w:w="0" w:type="dxa"/>
              <w:right w:w="0" w:type="dxa"/>
            </w:tcMar>
            <w:vAlign w:val="center"/>
          </w:tcPr>
          <w:p>
            <w:pPr>
              <w:pStyle w:val="TableContents"/>
              <w:bidi w:val="0"/>
              <w:spacing w:before="0" w:after="283"/>
              <w:jc w:val="left"/>
              <w:rPr/>
            </w:pPr>
            <w:hyperlink w:anchor="items_1_2_business_properties">
              <w:r>
                <w:rPr>
                  <w:rStyle w:val="InternetLink"/>
                  <w:rFonts w:ascii="Times New Roman" w:hAnsi="Times New Roman"/>
                  <w:color w:val="0000FF"/>
                  <w:sz w:val="20"/>
                  <w:u w:val="single"/>
                </w:rPr>
                <w:t>Business and Properties</w:t>
              </w:r>
            </w:hyperlink>
          </w:p>
        </w:tc>
        <w:tc>
          <w:tcPr>
            <w:tcW w:w="5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r>
      <w:tr>
        <w:trPr/>
        <w:tc>
          <w:tcPr>
            <w:tcW w:w="1240" w:type="dxa"/>
            <w:tcBorders/>
            <w:tcMar>
              <w:top w:w="0" w:type="dxa"/>
              <w:left w:w="0" w:type="dxa"/>
              <w:bottom w:w="0" w:type="dxa"/>
              <w:right w:w="0" w:type="dxa"/>
            </w:tcMar>
            <w:vAlign w:val="center"/>
          </w:tcPr>
          <w:p>
            <w:pPr>
              <w:pStyle w:val="TableContents"/>
              <w:bidi w:val="0"/>
              <w:spacing w:before="0" w:after="283"/>
              <w:jc w:val="left"/>
              <w:rPr/>
            </w:pPr>
            <w:r>
              <w:rPr/>
              <w:t> </w:t>
            </w:r>
          </w:p>
        </w:tc>
        <w:tc>
          <w:tcPr>
            <w:tcW w:w="8393" w:type="dxa"/>
            <w:tcBorders/>
            <w:tcMar>
              <w:top w:w="0" w:type="dxa"/>
              <w:left w:w="0" w:type="dxa"/>
              <w:bottom w:w="0" w:type="dxa"/>
              <w:right w:w="0" w:type="dxa"/>
            </w:tcMar>
            <w:vAlign w:val="center"/>
          </w:tcPr>
          <w:p>
            <w:pPr>
              <w:pStyle w:val="TableContents"/>
              <w:bidi w:val="0"/>
              <w:spacing w:before="0" w:after="283"/>
              <w:jc w:val="left"/>
              <w:rPr/>
            </w:pPr>
            <w:hyperlink w:anchor="general">
              <w:r>
                <w:rPr>
                  <w:rStyle w:val="InternetLink"/>
                  <w:rFonts w:ascii="Times New Roman" w:hAnsi="Times New Roman"/>
                  <w:color w:val="0000FF"/>
                  <w:sz w:val="20"/>
                  <w:u w:val="single"/>
                </w:rPr>
                <w:t>General</w:t>
              </w:r>
            </w:hyperlink>
          </w:p>
        </w:tc>
        <w:tc>
          <w:tcPr>
            <w:tcW w:w="5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r>
      <w:tr>
        <w:trPr/>
        <w:tc>
          <w:tcPr>
            <w:tcW w:w="1240" w:type="dxa"/>
            <w:tcBorders/>
            <w:tcMar>
              <w:top w:w="0" w:type="dxa"/>
              <w:left w:w="0" w:type="dxa"/>
              <w:bottom w:w="0" w:type="dxa"/>
              <w:right w:w="0" w:type="dxa"/>
            </w:tcMar>
            <w:vAlign w:val="center"/>
          </w:tcPr>
          <w:p>
            <w:pPr>
              <w:pStyle w:val="TableContents"/>
              <w:bidi w:val="0"/>
              <w:spacing w:before="0" w:after="283"/>
              <w:jc w:val="left"/>
              <w:rPr/>
            </w:pPr>
            <w:r>
              <w:rPr/>
              <w:t> </w:t>
            </w:r>
          </w:p>
        </w:tc>
        <w:tc>
          <w:tcPr>
            <w:tcW w:w="8393" w:type="dxa"/>
            <w:tcBorders/>
            <w:tcMar>
              <w:top w:w="0" w:type="dxa"/>
              <w:left w:w="0" w:type="dxa"/>
              <w:bottom w:w="0" w:type="dxa"/>
              <w:right w:w="0" w:type="dxa"/>
            </w:tcMar>
            <w:vAlign w:val="center"/>
          </w:tcPr>
          <w:p>
            <w:pPr>
              <w:pStyle w:val="TableContents"/>
              <w:bidi w:val="0"/>
              <w:spacing w:before="0" w:after="283"/>
              <w:jc w:val="left"/>
              <w:rPr/>
            </w:pPr>
            <w:hyperlink w:anchor="available_information">
              <w:r>
                <w:rPr>
                  <w:rStyle w:val="InternetLink"/>
                  <w:rFonts w:ascii="Times New Roman" w:hAnsi="Times New Roman"/>
                  <w:color w:val="0000FF"/>
                  <w:sz w:val="20"/>
                  <w:u w:val="single"/>
                </w:rPr>
                <w:t>Available Information</w:t>
              </w:r>
            </w:hyperlink>
          </w:p>
        </w:tc>
        <w:tc>
          <w:tcPr>
            <w:tcW w:w="5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r>
      <w:tr>
        <w:trPr/>
        <w:tc>
          <w:tcPr>
            <w:tcW w:w="1240" w:type="dxa"/>
            <w:tcBorders/>
            <w:tcMar>
              <w:top w:w="0" w:type="dxa"/>
              <w:left w:w="0" w:type="dxa"/>
              <w:bottom w:w="0" w:type="dxa"/>
              <w:right w:w="0" w:type="dxa"/>
            </w:tcMar>
            <w:vAlign w:val="center"/>
          </w:tcPr>
          <w:p>
            <w:pPr>
              <w:pStyle w:val="TableContents"/>
              <w:bidi w:val="0"/>
              <w:spacing w:before="0" w:after="283"/>
              <w:jc w:val="left"/>
              <w:rPr/>
            </w:pPr>
            <w:r>
              <w:rPr/>
              <w:t> </w:t>
            </w:r>
          </w:p>
        </w:tc>
        <w:tc>
          <w:tcPr>
            <w:tcW w:w="8393" w:type="dxa"/>
            <w:tcBorders/>
            <w:tcMar>
              <w:top w:w="0" w:type="dxa"/>
              <w:left w:w="0" w:type="dxa"/>
              <w:bottom w:w="0" w:type="dxa"/>
              <w:right w:w="0" w:type="dxa"/>
            </w:tcMar>
            <w:vAlign w:val="center"/>
          </w:tcPr>
          <w:p>
            <w:pPr>
              <w:pStyle w:val="TableContents"/>
              <w:bidi w:val="0"/>
              <w:spacing w:before="0" w:after="283"/>
              <w:jc w:val="left"/>
              <w:rPr/>
            </w:pPr>
            <w:hyperlink w:anchor="our_business_strategy">
              <w:r>
                <w:rPr>
                  <w:rStyle w:val="InternetLink"/>
                  <w:rFonts w:ascii="Times New Roman" w:hAnsi="Times New Roman"/>
                  <w:color w:val="0000FF"/>
                  <w:sz w:val="20"/>
                  <w:u w:val="single"/>
                </w:rPr>
                <w:t>Our Business Strategy</w:t>
              </w:r>
            </w:hyperlink>
          </w:p>
        </w:tc>
        <w:tc>
          <w:tcPr>
            <w:tcW w:w="5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r>
      <w:tr>
        <w:trPr/>
        <w:tc>
          <w:tcPr>
            <w:tcW w:w="1240" w:type="dxa"/>
            <w:tcBorders/>
            <w:tcMar>
              <w:top w:w="0" w:type="dxa"/>
              <w:left w:w="0" w:type="dxa"/>
              <w:bottom w:w="0" w:type="dxa"/>
              <w:right w:w="0" w:type="dxa"/>
            </w:tcMar>
            <w:vAlign w:val="center"/>
          </w:tcPr>
          <w:p>
            <w:pPr>
              <w:pStyle w:val="TableContents"/>
              <w:bidi w:val="0"/>
              <w:spacing w:before="0" w:after="283"/>
              <w:jc w:val="left"/>
              <w:rPr/>
            </w:pPr>
            <w:r>
              <w:rPr/>
              <w:t> </w:t>
            </w:r>
          </w:p>
        </w:tc>
        <w:tc>
          <w:tcPr>
            <w:tcW w:w="8393" w:type="dxa"/>
            <w:tcBorders/>
            <w:tcMar>
              <w:top w:w="0" w:type="dxa"/>
              <w:left w:w="0" w:type="dxa"/>
              <w:bottom w:w="0" w:type="dxa"/>
              <w:right w:w="0" w:type="dxa"/>
            </w:tcMar>
            <w:vAlign w:val="center"/>
          </w:tcPr>
          <w:p>
            <w:pPr>
              <w:pStyle w:val="TableContents"/>
              <w:bidi w:val="0"/>
              <w:spacing w:before="0" w:after="283"/>
              <w:jc w:val="left"/>
              <w:rPr/>
            </w:pPr>
            <w:hyperlink w:anchor="outlook_2022">
              <w:r>
                <w:rPr>
                  <w:rStyle w:val="InternetLink"/>
                  <w:rFonts w:ascii="Times New Roman" w:hAnsi="Times New Roman"/>
                  <w:color w:val="0000FF"/>
                  <w:sz w:val="20"/>
                  <w:u w:val="single"/>
                </w:rPr>
                <w:t>Outlook for 2026</w:t>
              </w:r>
            </w:hyperlink>
          </w:p>
        </w:tc>
        <w:tc>
          <w:tcPr>
            <w:tcW w:w="5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r>
      <w:tr>
        <w:trPr/>
        <w:tc>
          <w:tcPr>
            <w:tcW w:w="1240" w:type="dxa"/>
            <w:tcBorders/>
            <w:tcMar>
              <w:top w:w="0" w:type="dxa"/>
              <w:left w:w="0" w:type="dxa"/>
              <w:bottom w:w="0" w:type="dxa"/>
              <w:right w:w="0" w:type="dxa"/>
            </w:tcMar>
            <w:vAlign w:val="center"/>
          </w:tcPr>
          <w:p>
            <w:pPr>
              <w:pStyle w:val="TableContents"/>
              <w:bidi w:val="0"/>
              <w:spacing w:before="0" w:after="283"/>
              <w:jc w:val="left"/>
              <w:rPr/>
            </w:pPr>
            <w:r>
              <w:rPr/>
              <w:t> </w:t>
            </w:r>
          </w:p>
        </w:tc>
        <w:tc>
          <w:tcPr>
            <w:tcW w:w="8393" w:type="dxa"/>
            <w:tcBorders/>
            <w:tcMar>
              <w:top w:w="0" w:type="dxa"/>
              <w:left w:w="0" w:type="dxa"/>
              <w:bottom w:w="0" w:type="dxa"/>
              <w:right w:w="0" w:type="dxa"/>
            </w:tcMar>
            <w:vAlign w:val="center"/>
          </w:tcPr>
          <w:p>
            <w:pPr>
              <w:pStyle w:val="TableContents"/>
              <w:bidi w:val="0"/>
              <w:spacing w:before="0" w:after="283"/>
              <w:jc w:val="left"/>
              <w:rPr/>
            </w:pPr>
            <w:hyperlink w:anchor="property_overview">
              <w:r>
                <w:rPr>
                  <w:rStyle w:val="InternetLink"/>
                  <w:rFonts w:ascii="Times New Roman" w:hAnsi="Times New Roman"/>
                  <w:color w:val="0000FF"/>
                  <w:sz w:val="20"/>
                  <w:u w:val="single"/>
                </w:rPr>
                <w:t>Property Overview and Geographical Information</w:t>
              </w:r>
            </w:hyperlink>
          </w:p>
        </w:tc>
        <w:tc>
          <w:tcPr>
            <w:tcW w:w="5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r>
      <w:tr>
        <w:trPr/>
        <w:tc>
          <w:tcPr>
            <w:tcW w:w="1240" w:type="dxa"/>
            <w:tcBorders/>
            <w:tcMar>
              <w:top w:w="0" w:type="dxa"/>
              <w:left w:w="0" w:type="dxa"/>
              <w:bottom w:w="0" w:type="dxa"/>
              <w:right w:w="0" w:type="dxa"/>
            </w:tcMar>
            <w:vAlign w:val="center"/>
          </w:tcPr>
          <w:p>
            <w:pPr>
              <w:pStyle w:val="TableContents"/>
              <w:bidi w:val="0"/>
              <w:spacing w:before="0" w:after="283"/>
              <w:jc w:val="left"/>
              <w:rPr/>
            </w:pPr>
            <w:r>
              <w:rPr/>
              <w:t> </w:t>
            </w:r>
          </w:p>
        </w:tc>
        <w:tc>
          <w:tcPr>
            <w:tcW w:w="8393" w:type="dxa"/>
            <w:tcBorders/>
            <w:tcMar>
              <w:top w:w="0" w:type="dxa"/>
              <w:left w:w="0" w:type="dxa"/>
              <w:bottom w:w="0" w:type="dxa"/>
              <w:right w:w="0" w:type="dxa"/>
            </w:tcMar>
            <w:vAlign w:val="center"/>
          </w:tcPr>
          <w:p>
            <w:pPr>
              <w:pStyle w:val="TableContents"/>
              <w:bidi w:val="0"/>
              <w:spacing w:before="0" w:after="283"/>
              <w:jc w:val="left"/>
              <w:rPr/>
            </w:pPr>
            <w:hyperlink w:anchor="proved_reserves">
              <w:r>
                <w:rPr>
                  <w:rStyle w:val="InternetLink"/>
                  <w:rFonts w:ascii="Times New Roman" w:hAnsi="Times New Roman"/>
                  <w:color w:val="0000FF"/>
                  <w:sz w:val="20"/>
                  <w:u w:val="single"/>
                </w:rPr>
                <w:t>Proved Reserves</w:t>
              </w:r>
            </w:hyperlink>
          </w:p>
        </w:tc>
        <w:tc>
          <w:tcPr>
            <w:tcW w:w="5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r>
      <w:tr>
        <w:trPr/>
        <w:tc>
          <w:tcPr>
            <w:tcW w:w="1240" w:type="dxa"/>
            <w:tcBorders/>
            <w:tcMar>
              <w:top w:w="0" w:type="dxa"/>
              <w:left w:w="0" w:type="dxa"/>
              <w:bottom w:w="0" w:type="dxa"/>
              <w:right w:w="0" w:type="dxa"/>
            </w:tcMar>
            <w:vAlign w:val="center"/>
          </w:tcPr>
          <w:p>
            <w:pPr>
              <w:pStyle w:val="TableContents"/>
              <w:bidi w:val="0"/>
              <w:spacing w:before="0" w:after="283"/>
              <w:jc w:val="left"/>
              <w:rPr/>
            </w:pPr>
            <w:r>
              <w:rPr/>
              <w:t> </w:t>
            </w:r>
          </w:p>
        </w:tc>
        <w:tc>
          <w:tcPr>
            <w:tcW w:w="8393" w:type="dxa"/>
            <w:tcBorders/>
            <w:tcMar>
              <w:top w:w="0" w:type="dxa"/>
              <w:left w:w="0" w:type="dxa"/>
              <w:bottom w:w="0" w:type="dxa"/>
              <w:right w:w="0" w:type="dxa"/>
            </w:tcMar>
            <w:vAlign w:val="center"/>
          </w:tcPr>
          <w:p>
            <w:pPr>
              <w:pStyle w:val="TableContents"/>
              <w:bidi w:val="0"/>
              <w:spacing w:before="0" w:after="283"/>
              <w:jc w:val="left"/>
              <w:rPr/>
            </w:pPr>
            <w:hyperlink w:anchor="production_sales">
              <w:r>
                <w:rPr>
                  <w:rStyle w:val="InternetLink"/>
                  <w:rFonts w:ascii="Times New Roman" w:hAnsi="Times New Roman"/>
                  <w:color w:val="0000FF"/>
                  <w:sz w:val="20"/>
                  <w:u w:val="single"/>
                </w:rPr>
                <w:t>Production, Sales Price and Production Costs</w:t>
              </w:r>
            </w:hyperlink>
          </w:p>
        </w:tc>
        <w:tc>
          <w:tcPr>
            <w:tcW w:w="5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r>
      <w:tr>
        <w:trPr/>
        <w:tc>
          <w:tcPr>
            <w:tcW w:w="1240" w:type="dxa"/>
            <w:tcBorders/>
            <w:tcMar>
              <w:top w:w="0" w:type="dxa"/>
              <w:left w:w="0" w:type="dxa"/>
              <w:bottom w:w="0" w:type="dxa"/>
              <w:right w:w="0" w:type="dxa"/>
            </w:tcMar>
            <w:vAlign w:val="center"/>
          </w:tcPr>
          <w:p>
            <w:pPr>
              <w:pStyle w:val="TableContents"/>
              <w:bidi w:val="0"/>
              <w:spacing w:before="0" w:after="283"/>
              <w:jc w:val="left"/>
              <w:rPr/>
            </w:pPr>
            <w:r>
              <w:rPr/>
              <w:t> </w:t>
            </w:r>
          </w:p>
        </w:tc>
        <w:tc>
          <w:tcPr>
            <w:tcW w:w="8393" w:type="dxa"/>
            <w:tcBorders/>
            <w:tcMar>
              <w:top w:w="0" w:type="dxa"/>
              <w:left w:w="0" w:type="dxa"/>
              <w:bottom w:w="0" w:type="dxa"/>
              <w:right w:w="0" w:type="dxa"/>
            </w:tcMar>
            <w:vAlign w:val="center"/>
          </w:tcPr>
          <w:p>
            <w:pPr>
              <w:pStyle w:val="TableContents"/>
              <w:bidi w:val="0"/>
              <w:spacing w:before="0" w:after="283"/>
              <w:jc w:val="left"/>
              <w:rPr/>
            </w:pPr>
            <w:hyperlink w:anchor="drilling_activity">
              <w:r>
                <w:rPr>
                  <w:rStyle w:val="InternetLink"/>
                  <w:rFonts w:ascii="Times New Roman" w:hAnsi="Times New Roman"/>
                  <w:color w:val="0000FF"/>
                  <w:sz w:val="20"/>
                  <w:u w:val="single"/>
                </w:rPr>
                <w:t>Drilling Activity</w:t>
              </w:r>
            </w:hyperlink>
          </w:p>
        </w:tc>
        <w:tc>
          <w:tcPr>
            <w:tcW w:w="5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r>
      <w:tr>
        <w:trPr/>
        <w:tc>
          <w:tcPr>
            <w:tcW w:w="1240" w:type="dxa"/>
            <w:tcBorders/>
            <w:tcMar>
              <w:top w:w="0" w:type="dxa"/>
              <w:left w:w="0" w:type="dxa"/>
              <w:bottom w:w="0" w:type="dxa"/>
              <w:right w:w="0" w:type="dxa"/>
            </w:tcMar>
            <w:vAlign w:val="center"/>
          </w:tcPr>
          <w:p>
            <w:pPr>
              <w:pStyle w:val="TableContents"/>
              <w:bidi w:val="0"/>
              <w:spacing w:before="0" w:after="283"/>
              <w:jc w:val="left"/>
              <w:rPr/>
            </w:pPr>
            <w:r>
              <w:rPr/>
              <w:t> </w:t>
            </w:r>
          </w:p>
        </w:tc>
        <w:tc>
          <w:tcPr>
            <w:tcW w:w="8393" w:type="dxa"/>
            <w:tcBorders/>
            <w:tcMar>
              <w:top w:w="0" w:type="dxa"/>
              <w:left w:w="0" w:type="dxa"/>
              <w:bottom w:w="0" w:type="dxa"/>
              <w:right w:w="0" w:type="dxa"/>
            </w:tcMar>
            <w:vAlign w:val="center"/>
          </w:tcPr>
          <w:p>
            <w:pPr>
              <w:pStyle w:val="TableContents"/>
              <w:bidi w:val="0"/>
              <w:spacing w:before="0" w:after="283"/>
              <w:jc w:val="left"/>
              <w:rPr/>
            </w:pPr>
            <w:hyperlink w:anchor="gross_net_acreage">
              <w:r>
                <w:rPr>
                  <w:rStyle w:val="InternetLink"/>
                  <w:rFonts w:ascii="Times New Roman" w:hAnsi="Times New Roman"/>
                  <w:color w:val="0000FF"/>
                  <w:sz w:val="20"/>
                  <w:u w:val="single"/>
                </w:rPr>
                <w:t>Gross and Net Acreage</w:t>
              </w:r>
            </w:hyperlink>
          </w:p>
        </w:tc>
        <w:tc>
          <w:tcPr>
            <w:tcW w:w="5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r>
      <w:tr>
        <w:trPr/>
        <w:tc>
          <w:tcPr>
            <w:tcW w:w="1240" w:type="dxa"/>
            <w:tcBorders/>
            <w:tcMar>
              <w:top w:w="0" w:type="dxa"/>
              <w:left w:w="0" w:type="dxa"/>
              <w:bottom w:w="0" w:type="dxa"/>
              <w:right w:w="0" w:type="dxa"/>
            </w:tcMar>
            <w:vAlign w:val="center"/>
          </w:tcPr>
          <w:p>
            <w:pPr>
              <w:pStyle w:val="TableContents"/>
              <w:bidi w:val="0"/>
              <w:spacing w:before="0" w:after="283"/>
              <w:jc w:val="left"/>
              <w:rPr/>
            </w:pPr>
            <w:r>
              <w:rPr/>
              <w:t> </w:t>
            </w:r>
          </w:p>
        </w:tc>
        <w:tc>
          <w:tcPr>
            <w:tcW w:w="8393" w:type="dxa"/>
            <w:tcBorders/>
            <w:tcMar>
              <w:top w:w="0" w:type="dxa"/>
              <w:left w:w="0" w:type="dxa"/>
              <w:bottom w:w="0" w:type="dxa"/>
              <w:right w:w="0" w:type="dxa"/>
            </w:tcMar>
            <w:vAlign w:val="center"/>
          </w:tcPr>
          <w:p>
            <w:pPr>
              <w:pStyle w:val="TableContents"/>
              <w:bidi w:val="0"/>
              <w:spacing w:before="0" w:after="283"/>
              <w:jc w:val="left"/>
              <w:rPr/>
            </w:pPr>
            <w:hyperlink w:anchor="undeveloped_acreage_expirations">
              <w:r>
                <w:rPr>
                  <w:rStyle w:val="InternetLink"/>
                  <w:rFonts w:ascii="Times New Roman" w:hAnsi="Times New Roman"/>
                  <w:color w:val="0000FF"/>
                  <w:sz w:val="20"/>
                  <w:u w:val="single"/>
                </w:rPr>
                <w:t>Undeveloped Acreage Expirations</w:t>
              </w:r>
            </w:hyperlink>
          </w:p>
        </w:tc>
        <w:tc>
          <w:tcPr>
            <w:tcW w:w="5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r>
      <w:tr>
        <w:trPr/>
        <w:tc>
          <w:tcPr>
            <w:tcW w:w="1240" w:type="dxa"/>
            <w:tcBorders/>
            <w:tcMar>
              <w:top w:w="0" w:type="dxa"/>
              <w:left w:w="0" w:type="dxa"/>
              <w:bottom w:w="0" w:type="dxa"/>
              <w:right w:w="0" w:type="dxa"/>
            </w:tcMar>
            <w:vAlign w:val="center"/>
          </w:tcPr>
          <w:p>
            <w:pPr>
              <w:pStyle w:val="TableContents"/>
              <w:bidi w:val="0"/>
              <w:spacing w:before="0" w:after="283"/>
              <w:jc w:val="left"/>
              <w:rPr/>
            </w:pPr>
            <w:r>
              <w:rPr/>
              <w:t> </w:t>
            </w:r>
          </w:p>
        </w:tc>
        <w:tc>
          <w:tcPr>
            <w:tcW w:w="8393" w:type="dxa"/>
            <w:tcBorders/>
            <w:tcMar>
              <w:top w:w="0" w:type="dxa"/>
              <w:left w:w="0" w:type="dxa"/>
              <w:bottom w:w="0" w:type="dxa"/>
              <w:right w:w="0" w:type="dxa"/>
            </w:tcMar>
            <w:vAlign w:val="center"/>
          </w:tcPr>
          <w:p>
            <w:pPr>
              <w:pStyle w:val="TableContents"/>
              <w:bidi w:val="0"/>
              <w:spacing w:before="0" w:after="283"/>
              <w:jc w:val="left"/>
              <w:rPr/>
            </w:pPr>
            <w:hyperlink w:anchor="title_to_properties">
              <w:r>
                <w:rPr>
                  <w:rStyle w:val="InternetLink"/>
                  <w:rFonts w:ascii="Times New Roman" w:hAnsi="Times New Roman"/>
                  <w:color w:val="0000FF"/>
                  <w:sz w:val="20"/>
                  <w:u w:val="single"/>
                </w:rPr>
                <w:t>Title to Properties</w:t>
              </w:r>
            </w:hyperlink>
          </w:p>
        </w:tc>
        <w:tc>
          <w:tcPr>
            <w:tcW w:w="5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r>
      <w:tr>
        <w:trPr/>
        <w:tc>
          <w:tcPr>
            <w:tcW w:w="1240" w:type="dxa"/>
            <w:tcBorders/>
            <w:tcMar>
              <w:top w:w="0" w:type="dxa"/>
              <w:left w:w="0" w:type="dxa"/>
              <w:bottom w:w="0" w:type="dxa"/>
              <w:right w:w="0" w:type="dxa"/>
            </w:tcMar>
            <w:vAlign w:val="center"/>
          </w:tcPr>
          <w:p>
            <w:pPr>
              <w:pStyle w:val="TableContents"/>
              <w:bidi w:val="0"/>
              <w:spacing w:before="0" w:after="283"/>
              <w:jc w:val="left"/>
              <w:rPr/>
            </w:pPr>
            <w:r>
              <w:rPr/>
              <w:t> </w:t>
            </w:r>
          </w:p>
        </w:tc>
        <w:tc>
          <w:tcPr>
            <w:tcW w:w="8393" w:type="dxa"/>
            <w:tcBorders/>
            <w:tcMar>
              <w:top w:w="0" w:type="dxa"/>
              <w:left w:w="0" w:type="dxa"/>
              <w:bottom w:w="0" w:type="dxa"/>
              <w:right w:w="0" w:type="dxa"/>
            </w:tcMar>
            <w:vAlign w:val="center"/>
          </w:tcPr>
          <w:p>
            <w:pPr>
              <w:pStyle w:val="TableContents"/>
              <w:bidi w:val="0"/>
              <w:spacing w:before="0" w:after="283"/>
              <w:jc w:val="left"/>
              <w:rPr/>
            </w:pPr>
            <w:hyperlink w:anchor="competition">
              <w:r>
                <w:rPr>
                  <w:rStyle w:val="InternetLink"/>
                  <w:rFonts w:ascii="Times New Roman" w:hAnsi="Times New Roman"/>
                  <w:color w:val="0000FF"/>
                  <w:sz w:val="20"/>
                  <w:u w:val="single"/>
                </w:rPr>
                <w:t>Competition</w:t>
              </w:r>
            </w:hyperlink>
          </w:p>
        </w:tc>
        <w:tc>
          <w:tcPr>
            <w:tcW w:w="5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r>
      <w:tr>
        <w:trPr/>
        <w:tc>
          <w:tcPr>
            <w:tcW w:w="1240" w:type="dxa"/>
            <w:tcBorders/>
            <w:tcMar>
              <w:top w:w="0" w:type="dxa"/>
              <w:left w:w="0" w:type="dxa"/>
              <w:bottom w:w="0" w:type="dxa"/>
              <w:right w:w="0" w:type="dxa"/>
            </w:tcMar>
            <w:vAlign w:val="center"/>
          </w:tcPr>
          <w:p>
            <w:pPr>
              <w:pStyle w:val="TableContents"/>
              <w:bidi w:val="0"/>
              <w:spacing w:before="0" w:after="283"/>
              <w:jc w:val="left"/>
              <w:rPr/>
            </w:pPr>
            <w:r>
              <w:rPr/>
              <w:t> </w:t>
            </w:r>
          </w:p>
        </w:tc>
        <w:tc>
          <w:tcPr>
            <w:tcW w:w="8393" w:type="dxa"/>
            <w:tcBorders/>
            <w:tcMar>
              <w:top w:w="0" w:type="dxa"/>
              <w:left w:w="0" w:type="dxa"/>
              <w:bottom w:w="0" w:type="dxa"/>
              <w:right w:w="0" w:type="dxa"/>
            </w:tcMar>
            <w:vAlign w:val="center"/>
          </w:tcPr>
          <w:p>
            <w:pPr>
              <w:pStyle w:val="TableContents"/>
              <w:bidi w:val="0"/>
              <w:spacing w:before="0" w:after="283"/>
              <w:jc w:val="left"/>
              <w:rPr/>
            </w:pPr>
            <w:hyperlink w:anchor="marketing_and_customers">
              <w:r>
                <w:rPr>
                  <w:rStyle w:val="InternetLink"/>
                  <w:rFonts w:ascii="Times New Roman" w:hAnsi="Times New Roman"/>
                  <w:color w:val="0000FF"/>
                  <w:sz w:val="20"/>
                  <w:u w:val="single"/>
                </w:rPr>
                <w:t>Marketing and Customers</w:t>
              </w:r>
            </w:hyperlink>
          </w:p>
        </w:tc>
        <w:tc>
          <w:tcPr>
            <w:tcW w:w="5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r>
      <w:tr>
        <w:trPr/>
        <w:tc>
          <w:tcPr>
            <w:tcW w:w="1240" w:type="dxa"/>
            <w:tcBorders/>
            <w:tcMar>
              <w:top w:w="0" w:type="dxa"/>
              <w:left w:w="0" w:type="dxa"/>
              <w:bottom w:w="0" w:type="dxa"/>
              <w:right w:w="0" w:type="dxa"/>
            </w:tcMar>
            <w:vAlign w:val="center"/>
          </w:tcPr>
          <w:p>
            <w:pPr>
              <w:pStyle w:val="TableContents"/>
              <w:bidi w:val="0"/>
              <w:spacing w:before="0" w:after="283"/>
              <w:jc w:val="left"/>
              <w:rPr/>
            </w:pPr>
            <w:r>
              <w:rPr/>
              <w:t> </w:t>
            </w:r>
          </w:p>
        </w:tc>
        <w:tc>
          <w:tcPr>
            <w:tcW w:w="8393" w:type="dxa"/>
            <w:tcBorders/>
            <w:tcMar>
              <w:top w:w="0" w:type="dxa"/>
              <w:left w:w="0" w:type="dxa"/>
              <w:bottom w:w="0" w:type="dxa"/>
              <w:right w:w="0" w:type="dxa"/>
            </w:tcMar>
            <w:vAlign w:val="center"/>
          </w:tcPr>
          <w:p>
            <w:pPr>
              <w:pStyle w:val="TableContents"/>
              <w:bidi w:val="0"/>
              <w:spacing w:before="0" w:after="283"/>
              <w:jc w:val="left"/>
              <w:rPr/>
            </w:pPr>
            <w:hyperlink w:anchor="seasonal_nature_of_business">
              <w:r>
                <w:rPr>
                  <w:rStyle w:val="InternetLink"/>
                  <w:rFonts w:ascii="Times New Roman" w:hAnsi="Times New Roman"/>
                  <w:color w:val="0000FF"/>
                  <w:sz w:val="20"/>
                  <w:u w:val="single"/>
                </w:rPr>
                <w:t>Seasonal Nature of Business</w:t>
              </w:r>
            </w:hyperlink>
          </w:p>
        </w:tc>
        <w:tc>
          <w:tcPr>
            <w:tcW w:w="5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r>
      <w:tr>
        <w:trPr/>
        <w:tc>
          <w:tcPr>
            <w:tcW w:w="1240" w:type="dxa"/>
            <w:tcBorders/>
            <w:tcMar>
              <w:top w:w="0" w:type="dxa"/>
              <w:left w:w="0" w:type="dxa"/>
              <w:bottom w:w="0" w:type="dxa"/>
              <w:right w:w="0" w:type="dxa"/>
            </w:tcMar>
            <w:vAlign w:val="center"/>
          </w:tcPr>
          <w:p>
            <w:pPr>
              <w:pStyle w:val="TableContents"/>
              <w:bidi w:val="0"/>
              <w:spacing w:before="0" w:after="283"/>
              <w:jc w:val="left"/>
              <w:rPr/>
            </w:pPr>
            <w:r>
              <w:rPr/>
              <w:t> </w:t>
            </w:r>
          </w:p>
        </w:tc>
        <w:tc>
          <w:tcPr>
            <w:tcW w:w="8393" w:type="dxa"/>
            <w:tcBorders/>
            <w:tcMar>
              <w:top w:w="0" w:type="dxa"/>
              <w:left w:w="0" w:type="dxa"/>
              <w:bottom w:w="0" w:type="dxa"/>
              <w:right w:w="0" w:type="dxa"/>
            </w:tcMar>
            <w:vAlign w:val="center"/>
          </w:tcPr>
          <w:p>
            <w:pPr>
              <w:pStyle w:val="TableContents"/>
              <w:bidi w:val="0"/>
              <w:spacing w:before="0" w:after="283"/>
              <w:jc w:val="left"/>
              <w:rPr/>
            </w:pPr>
            <w:hyperlink w:anchor="markets">
              <w:r>
                <w:rPr>
                  <w:rStyle w:val="InternetLink"/>
                  <w:rFonts w:ascii="Times New Roman" w:hAnsi="Times New Roman"/>
                  <w:color w:val="0000FF"/>
                  <w:sz w:val="20"/>
                  <w:u w:val="single"/>
                </w:rPr>
                <w:t>Markets</w:t>
              </w:r>
            </w:hyperlink>
          </w:p>
        </w:tc>
        <w:tc>
          <w:tcPr>
            <w:tcW w:w="5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r>
      <w:tr>
        <w:trPr/>
        <w:tc>
          <w:tcPr>
            <w:tcW w:w="1240" w:type="dxa"/>
            <w:tcBorders/>
            <w:tcMar>
              <w:top w:w="0" w:type="dxa"/>
              <w:left w:w="0" w:type="dxa"/>
              <w:bottom w:w="0" w:type="dxa"/>
              <w:right w:w="0" w:type="dxa"/>
            </w:tcMar>
            <w:vAlign w:val="center"/>
          </w:tcPr>
          <w:p>
            <w:pPr>
              <w:pStyle w:val="TableContents"/>
              <w:bidi w:val="0"/>
              <w:spacing w:before="0" w:after="283"/>
              <w:jc w:val="left"/>
              <w:rPr/>
            </w:pPr>
            <w:r>
              <w:rPr/>
              <w:t> </w:t>
            </w:r>
          </w:p>
        </w:tc>
        <w:tc>
          <w:tcPr>
            <w:tcW w:w="8393" w:type="dxa"/>
            <w:tcBorders/>
            <w:tcMar>
              <w:top w:w="0" w:type="dxa"/>
              <w:left w:w="0" w:type="dxa"/>
              <w:bottom w:w="0" w:type="dxa"/>
              <w:right w:w="0" w:type="dxa"/>
            </w:tcMar>
            <w:vAlign w:val="center"/>
          </w:tcPr>
          <w:p>
            <w:pPr>
              <w:pStyle w:val="TableContents"/>
              <w:bidi w:val="0"/>
              <w:spacing w:before="0" w:after="283"/>
              <w:jc w:val="left"/>
              <w:rPr/>
            </w:pPr>
            <w:hyperlink w:anchor="human_capital_management">
              <w:r>
                <w:rPr>
                  <w:rStyle w:val="InternetLink"/>
                  <w:rFonts w:ascii="Times New Roman" w:hAnsi="Times New Roman"/>
                  <w:color w:val="0000FF"/>
                  <w:sz w:val="20"/>
                  <w:u w:val="single"/>
                </w:rPr>
                <w:t>Human Capital Management</w:t>
              </w:r>
            </w:hyperlink>
          </w:p>
        </w:tc>
        <w:tc>
          <w:tcPr>
            <w:tcW w:w="5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r>
      <w:tr>
        <w:trPr/>
        <w:tc>
          <w:tcPr>
            <w:tcW w:w="1240" w:type="dxa"/>
            <w:tcBorders/>
            <w:tcMar>
              <w:top w:w="0" w:type="dxa"/>
              <w:left w:w="0" w:type="dxa"/>
              <w:bottom w:w="0" w:type="dxa"/>
              <w:right w:w="0" w:type="dxa"/>
            </w:tcMar>
            <w:vAlign w:val="center"/>
          </w:tcPr>
          <w:p>
            <w:pPr>
              <w:pStyle w:val="TableContents"/>
              <w:bidi w:val="0"/>
              <w:spacing w:before="0" w:after="283"/>
              <w:jc w:val="left"/>
              <w:rPr/>
            </w:pPr>
            <w:r>
              <w:rPr/>
              <w:t> </w:t>
            </w:r>
          </w:p>
        </w:tc>
        <w:tc>
          <w:tcPr>
            <w:tcW w:w="8393" w:type="dxa"/>
            <w:tcBorders/>
            <w:tcMar>
              <w:top w:w="0" w:type="dxa"/>
              <w:left w:w="0" w:type="dxa"/>
              <w:bottom w:w="0" w:type="dxa"/>
              <w:right w:w="0" w:type="dxa"/>
            </w:tcMar>
            <w:vAlign w:val="center"/>
          </w:tcPr>
          <w:p>
            <w:pPr>
              <w:pStyle w:val="TableContents"/>
              <w:bidi w:val="0"/>
              <w:spacing w:before="0" w:after="283"/>
              <w:jc w:val="left"/>
              <w:rPr/>
            </w:pPr>
            <w:hyperlink w:anchor="executive_officers_of_the_registrant">
              <w:r>
                <w:rPr>
                  <w:rStyle w:val="InternetLink"/>
                  <w:rFonts w:ascii="Times New Roman" w:hAnsi="Times New Roman"/>
                  <w:color w:val="0000FF"/>
                  <w:sz w:val="20"/>
                  <w:u w:val="single"/>
                </w:rPr>
                <w:t>Executive Officers of the Registrant</w:t>
              </w:r>
            </w:hyperlink>
          </w:p>
        </w:tc>
        <w:tc>
          <w:tcPr>
            <w:tcW w:w="5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r>
      <w:tr>
        <w:trPr/>
        <w:tc>
          <w:tcPr>
            <w:tcW w:w="1240" w:type="dxa"/>
            <w:tcBorders/>
            <w:tcMar>
              <w:top w:w="0" w:type="dxa"/>
              <w:left w:w="0" w:type="dxa"/>
              <w:bottom w:w="0" w:type="dxa"/>
              <w:right w:w="0" w:type="dxa"/>
            </w:tcMar>
            <w:vAlign w:val="center"/>
          </w:tcPr>
          <w:p>
            <w:pPr>
              <w:pStyle w:val="TableContents"/>
              <w:bidi w:val="0"/>
              <w:spacing w:before="0" w:after="283"/>
              <w:jc w:val="left"/>
              <w:rPr/>
            </w:pPr>
            <w:r>
              <w:rPr/>
              <w:t> </w:t>
            </w:r>
          </w:p>
        </w:tc>
        <w:tc>
          <w:tcPr>
            <w:tcW w:w="8393" w:type="dxa"/>
            <w:tcBorders/>
            <w:tcMar>
              <w:top w:w="0" w:type="dxa"/>
              <w:left w:w="0" w:type="dxa"/>
              <w:bottom w:w="0" w:type="dxa"/>
              <w:right w:w="0" w:type="dxa"/>
            </w:tcMar>
            <w:vAlign w:val="center"/>
          </w:tcPr>
          <w:p>
            <w:pPr>
              <w:pStyle w:val="TableContents"/>
              <w:bidi w:val="0"/>
              <w:spacing w:before="0" w:after="283"/>
              <w:jc w:val="left"/>
              <w:rPr/>
            </w:pPr>
            <w:hyperlink w:anchor="governmental_regulation">
              <w:r>
                <w:rPr>
                  <w:rStyle w:val="InternetLink"/>
                  <w:rFonts w:ascii="Times New Roman" w:hAnsi="Times New Roman"/>
                  <w:color w:val="0000FF"/>
                  <w:sz w:val="20"/>
                  <w:u w:val="single"/>
                </w:rPr>
                <w:t>Governmental Regulation</w:t>
              </w:r>
            </w:hyperlink>
          </w:p>
        </w:tc>
        <w:tc>
          <w:tcPr>
            <w:tcW w:w="5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w:t>
            </w:r>
          </w:p>
        </w:tc>
      </w:tr>
      <w:tr>
        <w:trPr/>
        <w:tc>
          <w:tcPr>
            <w:tcW w:w="1240" w:type="dxa"/>
            <w:tcBorders/>
            <w:tcMar>
              <w:top w:w="0" w:type="dxa"/>
              <w:left w:w="0" w:type="dxa"/>
              <w:bottom w:w="0" w:type="dxa"/>
              <w:right w:w="0" w:type="dxa"/>
            </w:tcMar>
            <w:vAlign w:val="center"/>
          </w:tcPr>
          <w:p>
            <w:pPr>
              <w:pStyle w:val="TableContents"/>
              <w:bidi w:val="0"/>
              <w:spacing w:before="0" w:after="283"/>
              <w:jc w:val="left"/>
              <w:rPr/>
            </w:pPr>
            <w:r>
              <w:rPr/>
              <w:t> </w:t>
            </w:r>
          </w:p>
        </w:tc>
        <w:tc>
          <w:tcPr>
            <w:tcW w:w="8393" w:type="dxa"/>
            <w:tcBorders/>
            <w:tcMar>
              <w:top w:w="0" w:type="dxa"/>
              <w:left w:w="0" w:type="dxa"/>
              <w:bottom w:w="0" w:type="dxa"/>
              <w:right w:w="0" w:type="dxa"/>
            </w:tcMar>
            <w:vAlign w:val="center"/>
          </w:tcPr>
          <w:p>
            <w:pPr>
              <w:pStyle w:val="TableContents"/>
              <w:bidi w:val="0"/>
              <w:spacing w:before="0" w:after="283"/>
              <w:jc w:val="left"/>
              <w:rPr/>
            </w:pPr>
            <w:hyperlink w:anchor="environmental_and_occupational">
              <w:r>
                <w:rPr>
                  <w:rStyle w:val="InternetLink"/>
                  <w:rFonts w:ascii="Times New Roman" w:hAnsi="Times New Roman"/>
                  <w:color w:val="0000FF"/>
                  <w:sz w:val="20"/>
                  <w:u w:val="single"/>
                </w:rPr>
                <w:t>Environmental and Occupational Health and Safety Matters</w:t>
              </w:r>
            </w:hyperlink>
          </w:p>
        </w:tc>
        <w:tc>
          <w:tcPr>
            <w:tcW w:w="5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w:t>
            </w:r>
          </w:p>
        </w:tc>
      </w:tr>
      <w:tr>
        <w:trPr/>
        <w:tc>
          <w:tcPr>
            <w:tcW w:w="1240" w:type="dxa"/>
            <w:tcBorders/>
            <w:tcMar>
              <w:top w:w="0" w:type="dxa"/>
              <w:left w:w="0" w:type="dxa"/>
              <w:bottom w:w="0" w:type="dxa"/>
              <w:right w:w="0" w:type="dxa"/>
            </w:tcMar>
            <w:vAlign w:val="center"/>
          </w:tcPr>
          <w:p>
            <w:pPr>
              <w:pStyle w:val="TableContents"/>
              <w:bidi w:val="0"/>
              <w:spacing w:before="0" w:after="283"/>
              <w:jc w:val="left"/>
              <w:rPr/>
            </w:pPr>
            <w:r>
              <w:rPr/>
              <w:t> </w:t>
            </w:r>
          </w:p>
        </w:tc>
        <w:tc>
          <w:tcPr>
            <w:tcW w:w="8393"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393" w:type="dxa"/>
            <w:tcBorders/>
            <w:tcMar>
              <w:top w:w="0" w:type="dxa"/>
              <w:left w:w="0" w:type="dxa"/>
              <w:bottom w:w="0" w:type="dxa"/>
              <w:right w:w="0" w:type="dxa"/>
            </w:tcMar>
            <w:vAlign w:val="center"/>
          </w:tcPr>
          <w:p>
            <w:pPr>
              <w:pStyle w:val="TableContents"/>
              <w:bidi w:val="0"/>
              <w:spacing w:before="0" w:after="283"/>
              <w:jc w:val="left"/>
              <w:rPr/>
            </w:pPr>
            <w:hyperlink w:anchor="risk_factors">
              <w:r>
                <w:rPr>
                  <w:rStyle w:val="InternetLink"/>
                  <w:rFonts w:ascii="Times New Roman" w:hAnsi="Times New Roman"/>
                  <w:color w:val="0000FF"/>
                  <w:sz w:val="20"/>
                  <w:u w:val="single"/>
                </w:rPr>
                <w:t>Risk Factors</w:t>
              </w:r>
            </w:hyperlink>
          </w:p>
        </w:tc>
        <w:tc>
          <w:tcPr>
            <w:tcW w:w="5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w:t>
            </w:r>
          </w:p>
        </w:tc>
      </w:tr>
      <w:tr>
        <w:trPr/>
        <w:tc>
          <w:tcPr>
            <w:tcW w:w="1240" w:type="dxa"/>
            <w:tcBorders/>
            <w:tcMar>
              <w:top w:w="0" w:type="dxa"/>
              <w:left w:w="0" w:type="dxa"/>
              <w:bottom w:w="0" w:type="dxa"/>
              <w:right w:w="0" w:type="dxa"/>
            </w:tcMar>
            <w:vAlign w:val="center"/>
          </w:tcPr>
          <w:p>
            <w:pPr>
              <w:pStyle w:val="TableContents"/>
              <w:bidi w:val="0"/>
              <w:spacing w:before="0" w:after="283"/>
              <w:jc w:val="left"/>
              <w:rPr/>
            </w:pPr>
            <w:r>
              <w:rPr/>
              <w:t> </w:t>
            </w:r>
          </w:p>
        </w:tc>
        <w:tc>
          <w:tcPr>
            <w:tcW w:w="8393"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2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1B.</w:t>
            </w:r>
          </w:p>
        </w:tc>
        <w:tc>
          <w:tcPr>
            <w:tcW w:w="8393" w:type="dxa"/>
            <w:tcBorders/>
            <w:tcMar>
              <w:top w:w="0" w:type="dxa"/>
              <w:left w:w="0" w:type="dxa"/>
              <w:bottom w:w="0" w:type="dxa"/>
              <w:right w:w="0" w:type="dxa"/>
            </w:tcMar>
            <w:vAlign w:val="center"/>
          </w:tcPr>
          <w:p>
            <w:pPr>
              <w:pStyle w:val="TableContents"/>
              <w:bidi w:val="0"/>
              <w:spacing w:before="0" w:after="283"/>
              <w:jc w:val="left"/>
              <w:rPr/>
            </w:pPr>
            <w:hyperlink w:anchor="item_1b_unresolved_staff_comments">
              <w:r>
                <w:rPr>
                  <w:rStyle w:val="InternetLink"/>
                  <w:rFonts w:ascii="Times New Roman" w:hAnsi="Times New Roman"/>
                  <w:color w:val="0000FF"/>
                  <w:sz w:val="20"/>
                  <w:u w:val="single"/>
                </w:rPr>
                <w:t>Unresolved Staff Comments</w:t>
              </w:r>
            </w:hyperlink>
          </w:p>
        </w:tc>
        <w:tc>
          <w:tcPr>
            <w:tcW w:w="5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28</w:t>
            </w:r>
          </w:p>
        </w:tc>
      </w:tr>
      <w:tr>
        <w:trPr/>
        <w:tc>
          <w:tcPr>
            <w:tcW w:w="1240" w:type="dxa"/>
            <w:tcBorders/>
            <w:tcMar>
              <w:top w:w="0" w:type="dxa"/>
              <w:left w:w="0" w:type="dxa"/>
              <w:bottom w:w="0" w:type="dxa"/>
              <w:right w:w="0" w:type="dxa"/>
            </w:tcMar>
            <w:vAlign w:val="center"/>
          </w:tcPr>
          <w:p>
            <w:pPr>
              <w:pStyle w:val="TableContents"/>
              <w:bidi w:val="0"/>
              <w:spacing w:before="0" w:after="283"/>
              <w:jc w:val="left"/>
              <w:rPr/>
            </w:pPr>
            <w:r>
              <w:rPr/>
              <w:t> </w:t>
            </w:r>
          </w:p>
        </w:tc>
        <w:tc>
          <w:tcPr>
            <w:tcW w:w="8393"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2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1C.</w:t>
            </w:r>
          </w:p>
        </w:tc>
        <w:tc>
          <w:tcPr>
            <w:tcW w:w="8393" w:type="dxa"/>
            <w:tcBorders/>
            <w:tcMar>
              <w:top w:w="0" w:type="dxa"/>
              <w:left w:w="0" w:type="dxa"/>
              <w:bottom w:w="0" w:type="dxa"/>
              <w:right w:w="0" w:type="dxa"/>
            </w:tcMar>
            <w:vAlign w:val="center"/>
          </w:tcPr>
          <w:p>
            <w:pPr>
              <w:pStyle w:val="TableContents"/>
              <w:bidi w:val="0"/>
              <w:spacing w:before="0" w:after="283"/>
              <w:jc w:val="left"/>
              <w:rPr/>
            </w:pPr>
            <w:hyperlink w:anchor="cybersecurity">
              <w:r>
                <w:rPr>
                  <w:rStyle w:val="InternetLink"/>
                  <w:rFonts w:ascii="Times New Roman" w:hAnsi="Times New Roman"/>
                  <w:color w:val="0000FF"/>
                  <w:sz w:val="20"/>
                  <w:u w:val="single"/>
                </w:rPr>
                <w:t>Cybersecurity</w:t>
              </w:r>
            </w:hyperlink>
          </w:p>
        </w:tc>
        <w:tc>
          <w:tcPr>
            <w:tcW w:w="5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28</w:t>
            </w:r>
          </w:p>
        </w:tc>
      </w:tr>
      <w:tr>
        <w:trPr/>
        <w:tc>
          <w:tcPr>
            <w:tcW w:w="1240" w:type="dxa"/>
            <w:tcBorders/>
            <w:tcMar>
              <w:top w:w="0" w:type="dxa"/>
              <w:left w:w="0" w:type="dxa"/>
              <w:bottom w:w="0" w:type="dxa"/>
              <w:right w:w="0" w:type="dxa"/>
            </w:tcMar>
            <w:vAlign w:val="center"/>
          </w:tcPr>
          <w:p>
            <w:pPr>
              <w:pStyle w:val="TableContents"/>
              <w:bidi w:val="0"/>
              <w:spacing w:before="0" w:after="283"/>
              <w:jc w:val="left"/>
              <w:rPr/>
            </w:pPr>
            <w:r>
              <w:rPr/>
              <w:t> </w:t>
            </w:r>
          </w:p>
        </w:tc>
        <w:tc>
          <w:tcPr>
            <w:tcW w:w="8393"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2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393" w:type="dxa"/>
            <w:tcBorders/>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Times New Roman" w:hAnsi="Times New Roman"/>
                  <w:color w:val="0000FF"/>
                  <w:sz w:val="20"/>
                  <w:u w:val="single"/>
                </w:rPr>
                <w:t>Legal Proceedings</w:t>
              </w:r>
            </w:hyperlink>
          </w:p>
        </w:tc>
        <w:tc>
          <w:tcPr>
            <w:tcW w:w="5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29</w:t>
            </w:r>
          </w:p>
        </w:tc>
      </w:tr>
      <w:tr>
        <w:trPr/>
        <w:tc>
          <w:tcPr>
            <w:tcW w:w="1240" w:type="dxa"/>
            <w:tcBorders/>
            <w:tcMar>
              <w:top w:w="0" w:type="dxa"/>
              <w:left w:w="0" w:type="dxa"/>
              <w:bottom w:w="0" w:type="dxa"/>
              <w:right w:w="0" w:type="dxa"/>
            </w:tcMar>
            <w:vAlign w:val="center"/>
          </w:tcPr>
          <w:p>
            <w:pPr>
              <w:pStyle w:val="TableContents"/>
              <w:bidi w:val="0"/>
              <w:spacing w:before="0" w:after="283"/>
              <w:jc w:val="left"/>
              <w:rPr/>
            </w:pPr>
            <w:r>
              <w:rPr/>
              <w:t> </w:t>
            </w:r>
          </w:p>
        </w:tc>
        <w:tc>
          <w:tcPr>
            <w:tcW w:w="8393"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2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393"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29</w:t>
            </w:r>
          </w:p>
        </w:tc>
      </w:tr>
      <w:tr>
        <w:trPr/>
        <w:tc>
          <w:tcPr>
            <w:tcW w:w="1240" w:type="dxa"/>
            <w:tcBorders/>
            <w:tcMar>
              <w:top w:w="0" w:type="dxa"/>
              <w:left w:w="0" w:type="dxa"/>
              <w:bottom w:w="0" w:type="dxa"/>
              <w:right w:w="0" w:type="dxa"/>
            </w:tcMar>
            <w:vAlign w:val="center"/>
          </w:tcPr>
          <w:p>
            <w:pPr>
              <w:pStyle w:val="TableContents"/>
              <w:bidi w:val="0"/>
              <w:spacing w:before="0" w:after="283"/>
              <w:jc w:val="left"/>
              <w:rPr/>
            </w:pPr>
            <w:r>
              <w:rPr/>
              <w:t> </w:t>
            </w:r>
          </w:p>
        </w:tc>
        <w:tc>
          <w:tcPr>
            <w:tcW w:w="8393"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2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393"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240" w:type="dxa"/>
            <w:tcBorders/>
            <w:tcMar>
              <w:top w:w="0" w:type="dxa"/>
              <w:left w:w="0" w:type="dxa"/>
              <w:bottom w:w="0" w:type="dxa"/>
              <w:right w:w="0" w:type="dxa"/>
            </w:tcMar>
            <w:vAlign w:val="center"/>
          </w:tcPr>
          <w:p>
            <w:pPr>
              <w:pStyle w:val="TableContents"/>
              <w:bidi w:val="0"/>
              <w:spacing w:before="0" w:after="283"/>
              <w:ind w:left="0" w:right="0" w:firstLine="288"/>
              <w:jc w:val="left"/>
              <w:rPr>
                <w:rFonts w:ascii="Times New Roman" w:hAnsi="Times New Roman"/>
                <w:color w:val="000000"/>
                <w:sz w:val="20"/>
              </w:rPr>
            </w:pPr>
            <w:r>
              <w:rPr>
                <w:rFonts w:ascii="Times New Roman" w:hAnsi="Times New Roman"/>
                <w:color w:val="000000"/>
                <w:sz w:val="20"/>
              </w:rPr>
              <w:t>ITEM 5.</w:t>
            </w:r>
          </w:p>
        </w:tc>
        <w:tc>
          <w:tcPr>
            <w:tcW w:w="8393"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market_for_registrants_common">
              <w:r>
                <w:rPr>
                  <w:rStyle w:val="InternetLink"/>
                  <w:rFonts w:ascii="Times New Roman" w:hAnsi="Times New Roman"/>
                  <w:color w:val="0000FF"/>
                  <w:sz w:val="20"/>
                  <w:u w:val="single"/>
                </w:rPr>
                <w:t>Market for Registrant's Common Equity, Related Stockholder Matters and Issuer Purchases of Equity Securities</w:t>
              </w:r>
            </w:hyperlink>
          </w:p>
        </w:tc>
        <w:tc>
          <w:tcPr>
            <w:tcW w:w="5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w:t>
            </w:r>
          </w:p>
        </w:tc>
      </w:tr>
      <w:tr>
        <w:trPr/>
        <w:tc>
          <w:tcPr>
            <w:tcW w:w="1240" w:type="dxa"/>
            <w:tcBorders/>
            <w:tcMar>
              <w:top w:w="0" w:type="dxa"/>
              <w:left w:w="0" w:type="dxa"/>
              <w:bottom w:w="0" w:type="dxa"/>
              <w:right w:w="0" w:type="dxa"/>
            </w:tcMar>
            <w:vAlign w:val="center"/>
          </w:tcPr>
          <w:p>
            <w:pPr>
              <w:pStyle w:val="TableContents"/>
              <w:bidi w:val="0"/>
              <w:spacing w:before="0" w:after="283"/>
              <w:jc w:val="left"/>
              <w:rPr/>
            </w:pPr>
            <w:r>
              <w:rPr/>
              <w:t> </w:t>
            </w:r>
          </w:p>
        </w:tc>
        <w:tc>
          <w:tcPr>
            <w:tcW w:w="8393" w:type="dxa"/>
            <w:tcBorders/>
            <w:tcMar>
              <w:top w:w="0" w:type="dxa"/>
              <w:left w:w="0" w:type="dxa"/>
              <w:bottom w:w="0" w:type="dxa"/>
              <w:right w:w="0" w:type="dxa"/>
            </w:tcMar>
            <w:vAlign w:val="center"/>
          </w:tcPr>
          <w:p>
            <w:pPr>
              <w:pStyle w:val="TableContents"/>
              <w:bidi w:val="0"/>
              <w:spacing w:before="0" w:after="283"/>
              <w:jc w:val="left"/>
              <w:rPr/>
            </w:pPr>
            <w:hyperlink w:anchor="market_for_common_stock">
              <w:r>
                <w:rPr>
                  <w:rStyle w:val="InternetLink"/>
                  <w:rFonts w:ascii="Times New Roman" w:hAnsi="Times New Roman"/>
                  <w:color w:val="0000FF"/>
                  <w:sz w:val="20"/>
                  <w:u w:val="single"/>
                </w:rPr>
                <w:t>Market for Common Stock</w:t>
              </w:r>
            </w:hyperlink>
          </w:p>
        </w:tc>
        <w:tc>
          <w:tcPr>
            <w:tcW w:w="5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w:t>
            </w:r>
          </w:p>
        </w:tc>
      </w:tr>
      <w:tr>
        <w:trPr/>
        <w:tc>
          <w:tcPr>
            <w:tcW w:w="1240" w:type="dxa"/>
            <w:tcBorders/>
            <w:tcMar>
              <w:top w:w="0" w:type="dxa"/>
              <w:left w:w="0" w:type="dxa"/>
              <w:bottom w:w="0" w:type="dxa"/>
              <w:right w:w="0" w:type="dxa"/>
            </w:tcMar>
            <w:vAlign w:val="center"/>
          </w:tcPr>
          <w:p>
            <w:pPr>
              <w:pStyle w:val="TableContents"/>
              <w:bidi w:val="0"/>
              <w:spacing w:before="0" w:after="283"/>
              <w:jc w:val="left"/>
              <w:rPr/>
            </w:pPr>
            <w:r>
              <w:rPr/>
              <w:t> </w:t>
            </w:r>
          </w:p>
        </w:tc>
        <w:tc>
          <w:tcPr>
            <w:tcW w:w="8393" w:type="dxa"/>
            <w:tcBorders/>
            <w:tcMar>
              <w:top w:w="0" w:type="dxa"/>
              <w:left w:w="0" w:type="dxa"/>
              <w:bottom w:w="0" w:type="dxa"/>
              <w:right w:w="0" w:type="dxa"/>
            </w:tcMar>
            <w:vAlign w:val="center"/>
          </w:tcPr>
          <w:p>
            <w:pPr>
              <w:pStyle w:val="TableContents"/>
              <w:bidi w:val="0"/>
              <w:spacing w:before="0" w:after="283"/>
              <w:jc w:val="left"/>
              <w:rPr/>
            </w:pPr>
            <w:hyperlink w:anchor="holders_of_record">
              <w:r>
                <w:rPr>
                  <w:rStyle w:val="InternetLink"/>
                  <w:rFonts w:ascii="Times New Roman" w:hAnsi="Times New Roman"/>
                  <w:color w:val="0000FF"/>
                  <w:sz w:val="20"/>
                  <w:u w:val="single"/>
                </w:rPr>
                <w:t>Holders of Record</w:t>
              </w:r>
            </w:hyperlink>
          </w:p>
        </w:tc>
        <w:tc>
          <w:tcPr>
            <w:tcW w:w="5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w:t>
            </w:r>
          </w:p>
        </w:tc>
      </w:tr>
      <w:tr>
        <w:trPr/>
        <w:tc>
          <w:tcPr>
            <w:tcW w:w="1240" w:type="dxa"/>
            <w:tcBorders/>
            <w:tcMar>
              <w:top w:w="0" w:type="dxa"/>
              <w:left w:w="0" w:type="dxa"/>
              <w:bottom w:w="0" w:type="dxa"/>
              <w:right w:w="0" w:type="dxa"/>
            </w:tcMar>
            <w:vAlign w:val="center"/>
          </w:tcPr>
          <w:p>
            <w:pPr>
              <w:pStyle w:val="TableContents"/>
              <w:bidi w:val="0"/>
              <w:spacing w:before="0" w:after="283"/>
              <w:jc w:val="left"/>
              <w:rPr/>
            </w:pPr>
            <w:r>
              <w:rPr/>
              <w:t> </w:t>
            </w:r>
          </w:p>
        </w:tc>
        <w:tc>
          <w:tcPr>
            <w:tcW w:w="8393" w:type="dxa"/>
            <w:tcBorders/>
            <w:tcMar>
              <w:top w:w="0" w:type="dxa"/>
              <w:left w:w="0" w:type="dxa"/>
              <w:bottom w:w="0" w:type="dxa"/>
              <w:right w:w="0" w:type="dxa"/>
            </w:tcMar>
            <w:vAlign w:val="center"/>
          </w:tcPr>
          <w:p>
            <w:pPr>
              <w:pStyle w:val="TableContents"/>
              <w:bidi w:val="0"/>
              <w:spacing w:before="0" w:after="283"/>
              <w:jc w:val="left"/>
              <w:rPr/>
            </w:pPr>
            <w:hyperlink w:anchor="dividends">
              <w:r>
                <w:rPr>
                  <w:rStyle w:val="InternetLink"/>
                  <w:rFonts w:ascii="Times New Roman" w:hAnsi="Times New Roman"/>
                  <w:color w:val="0000FF"/>
                  <w:sz w:val="20"/>
                  <w:u w:val="single"/>
                </w:rPr>
                <w:t>Dividends</w:t>
              </w:r>
            </w:hyperlink>
          </w:p>
        </w:tc>
        <w:tc>
          <w:tcPr>
            <w:tcW w:w="5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w:t>
            </w:r>
          </w:p>
        </w:tc>
      </w:tr>
      <w:tr>
        <w:trPr/>
        <w:tc>
          <w:tcPr>
            <w:tcW w:w="1240" w:type="dxa"/>
            <w:tcBorders/>
            <w:tcMar>
              <w:top w:w="0" w:type="dxa"/>
              <w:left w:w="0" w:type="dxa"/>
              <w:bottom w:w="0" w:type="dxa"/>
              <w:right w:w="0" w:type="dxa"/>
            </w:tcMar>
            <w:vAlign w:val="center"/>
          </w:tcPr>
          <w:p>
            <w:pPr>
              <w:pStyle w:val="TableContents"/>
              <w:bidi w:val="0"/>
              <w:spacing w:before="0" w:after="283"/>
              <w:jc w:val="left"/>
              <w:rPr/>
            </w:pPr>
            <w:r>
              <w:rPr/>
              <w:t> </w:t>
            </w:r>
          </w:p>
        </w:tc>
        <w:tc>
          <w:tcPr>
            <w:tcW w:w="8393" w:type="dxa"/>
            <w:tcBorders/>
            <w:tcMar>
              <w:top w:w="0" w:type="dxa"/>
              <w:left w:w="0" w:type="dxa"/>
              <w:bottom w:w="0" w:type="dxa"/>
              <w:right w:w="0" w:type="dxa"/>
            </w:tcMar>
            <w:vAlign w:val="center"/>
          </w:tcPr>
          <w:p>
            <w:pPr>
              <w:pStyle w:val="TableContents"/>
              <w:bidi w:val="0"/>
              <w:spacing w:before="0" w:after="283"/>
              <w:jc w:val="left"/>
              <w:rPr/>
            </w:pPr>
            <w:hyperlink w:anchor="equity_compensation_plan">
              <w:r>
                <w:rPr>
                  <w:rStyle w:val="InternetLink"/>
                  <w:rFonts w:ascii="Times New Roman" w:hAnsi="Times New Roman"/>
                  <w:color w:val="0000FF"/>
                  <w:sz w:val="20"/>
                  <w:u w:val="single"/>
                </w:rPr>
                <w:t>Equity Compensation Plan Information</w:t>
              </w:r>
            </w:hyperlink>
          </w:p>
        </w:tc>
        <w:tc>
          <w:tcPr>
            <w:tcW w:w="5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w:t>
            </w:r>
          </w:p>
        </w:tc>
      </w:tr>
      <w:tr>
        <w:trPr/>
        <w:tc>
          <w:tcPr>
            <w:tcW w:w="1240" w:type="dxa"/>
            <w:tcBorders/>
            <w:tcMar>
              <w:top w:w="0" w:type="dxa"/>
              <w:left w:w="0" w:type="dxa"/>
              <w:bottom w:w="0" w:type="dxa"/>
              <w:right w:w="0" w:type="dxa"/>
            </w:tcMar>
            <w:vAlign w:val="center"/>
          </w:tcPr>
          <w:p>
            <w:pPr>
              <w:pStyle w:val="TableContents"/>
              <w:bidi w:val="0"/>
              <w:spacing w:before="0" w:after="283"/>
              <w:jc w:val="left"/>
              <w:rPr/>
            </w:pPr>
            <w:r>
              <w:rPr/>
              <w:t> </w:t>
            </w:r>
          </w:p>
        </w:tc>
        <w:tc>
          <w:tcPr>
            <w:tcW w:w="8393" w:type="dxa"/>
            <w:tcBorders/>
            <w:tcMar>
              <w:top w:w="0" w:type="dxa"/>
              <w:left w:w="0" w:type="dxa"/>
              <w:bottom w:w="0" w:type="dxa"/>
              <w:right w:w="0" w:type="dxa"/>
            </w:tcMar>
            <w:vAlign w:val="center"/>
          </w:tcPr>
          <w:p>
            <w:pPr>
              <w:pStyle w:val="TableContents"/>
              <w:bidi w:val="0"/>
              <w:spacing w:before="0" w:after="283"/>
              <w:jc w:val="left"/>
              <w:rPr/>
            </w:pPr>
            <w:hyperlink w:anchor="purchase_of_equity_securities">
              <w:r>
                <w:rPr>
                  <w:rStyle w:val="InternetLink"/>
                  <w:rFonts w:ascii="Times New Roman" w:hAnsi="Times New Roman"/>
                  <w:color w:val="0000FF"/>
                  <w:sz w:val="20"/>
                  <w:u w:val="single"/>
                </w:rPr>
                <w:t>Purchases of Equity Securities by Issuer and Affiliated Purchasers</w:t>
              </w:r>
            </w:hyperlink>
          </w:p>
        </w:tc>
        <w:tc>
          <w:tcPr>
            <w:tcW w:w="5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w:t>
            </w:r>
          </w:p>
        </w:tc>
      </w:tr>
      <w:tr>
        <w:trPr/>
        <w:tc>
          <w:tcPr>
            <w:tcW w:w="1240" w:type="dxa"/>
            <w:tcBorders/>
            <w:tcMar>
              <w:top w:w="0" w:type="dxa"/>
              <w:left w:w="0" w:type="dxa"/>
              <w:bottom w:w="0" w:type="dxa"/>
              <w:right w:w="0" w:type="dxa"/>
            </w:tcMar>
            <w:vAlign w:val="center"/>
          </w:tcPr>
          <w:p>
            <w:pPr>
              <w:pStyle w:val="TableContents"/>
              <w:bidi w:val="0"/>
              <w:spacing w:before="0" w:after="283"/>
              <w:jc w:val="left"/>
              <w:rPr/>
            </w:pPr>
            <w:r>
              <w:rPr/>
              <w:t> </w:t>
            </w:r>
          </w:p>
        </w:tc>
        <w:tc>
          <w:tcPr>
            <w:tcW w:w="8393" w:type="dxa"/>
            <w:tcBorders/>
            <w:tcMar>
              <w:top w:w="0" w:type="dxa"/>
              <w:left w:w="0" w:type="dxa"/>
              <w:bottom w:w="0" w:type="dxa"/>
              <w:right w:w="0" w:type="dxa"/>
            </w:tcMar>
            <w:vAlign w:val="center"/>
          </w:tcPr>
          <w:p>
            <w:pPr>
              <w:pStyle w:val="TableContents"/>
              <w:bidi w:val="0"/>
              <w:spacing w:before="0" w:after="283"/>
              <w:jc w:val="left"/>
              <w:rPr/>
            </w:pPr>
            <w:hyperlink w:anchor="stockholder_return_performance">
              <w:r>
                <w:rPr>
                  <w:rStyle w:val="InternetLink"/>
                  <w:rFonts w:ascii="Times New Roman" w:hAnsi="Times New Roman"/>
                  <w:color w:val="0000FF"/>
                  <w:sz w:val="20"/>
                  <w:u w:val="single"/>
                </w:rPr>
                <w:t>Stockholder Return Performance Presentation</w:t>
              </w:r>
            </w:hyperlink>
          </w:p>
        </w:tc>
        <w:tc>
          <w:tcPr>
            <w:tcW w:w="5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360"/>
        <w:jc w:val="center"/>
        <w:rPr>
          <w:rFonts w:ascii="Times New Roman" w:hAnsi="Times New Roman"/>
          <w:color w:val="000000"/>
          <w:sz w:val="20"/>
        </w:rPr>
      </w:pPr>
      <w:r>
        <w:rPr>
          <w:rFonts w:ascii="Times New Roman" w:hAnsi="Times New Roman"/>
          <w:color w:val="000000"/>
          <w:sz w:val="20"/>
        </w:rPr>
        <w:t>TABLE OF CONTENTS (continued)</w:t>
      </w:r>
    </w:p>
    <w:tbl>
      <w:tblPr>
        <w:tblW w:w="10205" w:type="dxa"/>
        <w:jc w:val="left"/>
        <w:tblInd w:w="0" w:type="dxa"/>
        <w:tblLayout w:type="fixed"/>
        <w:tblCellMar>
          <w:top w:w="28" w:type="dxa"/>
          <w:left w:w="28" w:type="dxa"/>
          <w:bottom w:w="28" w:type="dxa"/>
          <w:right w:w="28" w:type="dxa"/>
        </w:tblCellMar>
      </w:tblPr>
      <w:tblGrid>
        <w:gridCol w:w="1366"/>
        <w:gridCol w:w="8268"/>
        <w:gridCol w:w="571"/>
      </w:tblGrid>
      <w:tr>
        <w:trPr/>
        <w:tc>
          <w:tcPr>
            <w:tcW w:w="1366" w:type="dxa"/>
            <w:tcBorders/>
            <w:vAlign w:val="center"/>
          </w:tcPr>
          <w:p>
            <w:pPr>
              <w:pStyle w:val="TableContents"/>
              <w:bidi w:val="0"/>
              <w:spacing w:before="0" w:after="283"/>
              <w:jc w:val="left"/>
              <w:rPr>
                <w:sz w:val="4"/>
                <w:szCs w:val="4"/>
              </w:rPr>
            </w:pPr>
            <w:r>
              <w:rPr>
                <w:sz w:val="4"/>
                <w:szCs w:val="4"/>
              </w:rPr>
            </w:r>
          </w:p>
        </w:tc>
        <w:tc>
          <w:tcPr>
            <w:tcW w:w="82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8"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268" w:type="dxa"/>
            <w:tcBorders/>
            <w:tcMar>
              <w:top w:w="0" w:type="dxa"/>
              <w:left w:w="0" w:type="dxa"/>
              <w:bottom w:w="0" w:type="dxa"/>
              <w:right w:w="0" w:type="dxa"/>
            </w:tcMar>
            <w:vAlign w:val="center"/>
          </w:tcPr>
          <w:p>
            <w:pPr>
              <w:pStyle w:val="TableContents"/>
              <w:bidi w:val="0"/>
              <w:spacing w:before="0" w:after="283"/>
              <w:jc w:val="left"/>
              <w:rPr/>
            </w:pPr>
            <w:hyperlink w:anchor="reserved">
              <w:r>
                <w:rPr>
                  <w:rStyle w:val="InternetLink"/>
                  <w:rFonts w:ascii="Times New Roman" w:hAnsi="Times New Roman"/>
                  <w:color w:val="0000FF"/>
                  <w:sz w:val="20"/>
                  <w:u w:val="single"/>
                </w:rPr>
                <w:t>[Reserved]</w:t>
              </w:r>
            </w:hyperlink>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8"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7.</w:t>
            </w:r>
          </w:p>
        </w:tc>
        <w:tc>
          <w:tcPr>
            <w:tcW w:w="8268" w:type="dxa"/>
            <w:tcBorders/>
            <w:tcMar>
              <w:top w:w="0" w:type="dxa"/>
              <w:left w:w="0" w:type="dxa"/>
              <w:bottom w:w="0" w:type="dxa"/>
              <w:right w:w="0" w:type="dxa"/>
            </w:tcMar>
            <w:vAlign w:val="center"/>
          </w:tcPr>
          <w:p>
            <w:pPr>
              <w:pStyle w:val="TableContents"/>
              <w:bidi w:val="0"/>
              <w:spacing w:before="0" w:after="283"/>
              <w:jc w:val="left"/>
              <w:rPr/>
            </w:pPr>
            <w:hyperlink w:anchor="item_7_mda">
              <w:r>
                <w:rPr>
                  <w:rStyle w:val="InternetLink"/>
                  <w:rFonts w:ascii="Times New Roman" w:hAnsi="Times New Roman"/>
                  <w:color w:val="0000FF"/>
                  <w:sz w:val="20"/>
                  <w:u w:val="single"/>
                </w:rPr>
                <w:t>Management's Discussion and Analysis of Financial Condition and Results of Operations</w:t>
              </w:r>
            </w:hyperlink>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8" w:type="dxa"/>
            <w:tcBorders/>
            <w:tcMar>
              <w:top w:w="0" w:type="dxa"/>
              <w:left w:w="0" w:type="dxa"/>
              <w:bottom w:w="0" w:type="dxa"/>
              <w:right w:w="0" w:type="dxa"/>
            </w:tcMar>
            <w:vAlign w:val="center"/>
          </w:tcPr>
          <w:p>
            <w:pPr>
              <w:pStyle w:val="TableContents"/>
              <w:bidi w:val="0"/>
              <w:spacing w:before="0" w:after="283"/>
              <w:jc w:val="left"/>
              <w:rPr/>
            </w:pPr>
            <w:hyperlink w:anchor="mda_operations">
              <w:r>
                <w:rPr>
                  <w:rStyle w:val="InternetLink"/>
                  <w:rFonts w:ascii="Times New Roman" w:hAnsi="Times New Roman"/>
                  <w:color w:val="0000FF"/>
                  <w:sz w:val="20"/>
                  <w:u w:val="single"/>
                </w:rPr>
                <w:t>Management's Discussion and Analysis of Results of Operations</w:t>
              </w:r>
            </w:hyperlink>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w:t>
            </w:r>
          </w:p>
        </w:tc>
      </w:tr>
      <w:tr>
        <w:trPr/>
        <w:tc>
          <w:tcPr>
            <w:tcW w:w="1366" w:type="dxa"/>
            <w:tcBorders/>
            <w:tcMar>
              <w:top w:w="0" w:type="dxa"/>
              <w:left w:w="0" w:type="dxa"/>
              <w:bottom w:w="0" w:type="dxa"/>
              <w:right w:w="0" w:type="dxa"/>
            </w:tcMar>
            <w:vAlign w:val="center"/>
          </w:tcPr>
          <w:p>
            <w:pPr>
              <w:pStyle w:val="TableContents"/>
              <w:bidi w:val="0"/>
              <w:spacing w:before="0" w:after="283"/>
              <w:ind w:left="0" w:right="0" w:firstLine="288"/>
              <w:jc w:val="left"/>
              <w:rPr/>
            </w:pPr>
            <w:r>
              <w:rPr/>
              <w:t> </w:t>
            </w:r>
          </w:p>
        </w:tc>
        <w:tc>
          <w:tcPr>
            <w:tcW w:w="8268"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mda_financial">
              <w:r>
                <w:rPr>
                  <w:rStyle w:val="InternetLink"/>
                  <w:rFonts w:ascii="Times New Roman" w:hAnsi="Times New Roman"/>
                  <w:color w:val="0000FF"/>
                  <w:sz w:val="20"/>
                  <w:u w:val="single"/>
                </w:rPr>
                <w:t>Management's Discussion and Analysis of Financial Condition, Cash Flows, Capital Resources and Liquidity</w:t>
              </w:r>
            </w:hyperlink>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8" w:type="dxa"/>
            <w:tcBorders/>
            <w:tcMar>
              <w:top w:w="0" w:type="dxa"/>
              <w:left w:w="0" w:type="dxa"/>
              <w:bottom w:w="0" w:type="dxa"/>
              <w:right w:w="0" w:type="dxa"/>
            </w:tcMar>
            <w:vAlign w:val="center"/>
          </w:tcPr>
          <w:p>
            <w:pPr>
              <w:pStyle w:val="TableContents"/>
              <w:bidi w:val="0"/>
              <w:spacing w:before="0" w:after="283"/>
              <w:jc w:val="left"/>
              <w:rPr/>
            </w:pPr>
            <w:hyperlink w:anchor="mda_accounting">
              <w:r>
                <w:rPr>
                  <w:rStyle w:val="InternetLink"/>
                  <w:rFonts w:ascii="Times New Roman" w:hAnsi="Times New Roman"/>
                  <w:color w:val="0000FF"/>
                  <w:sz w:val="20"/>
                  <w:u w:val="single"/>
                </w:rPr>
                <w:t>Management's Discussion of Critical Accounting Estimates</w:t>
              </w:r>
            </w:hyperlink>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8"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7A.</w:t>
            </w:r>
          </w:p>
        </w:tc>
        <w:tc>
          <w:tcPr>
            <w:tcW w:w="8268" w:type="dxa"/>
            <w:tcBorders/>
            <w:tcMar>
              <w:top w:w="0" w:type="dxa"/>
              <w:left w:w="0" w:type="dxa"/>
              <w:bottom w:w="0" w:type="dxa"/>
              <w:right w:w="0" w:type="dxa"/>
            </w:tcMar>
            <w:vAlign w:val="center"/>
          </w:tcPr>
          <w:p>
            <w:pPr>
              <w:pStyle w:val="TableContents"/>
              <w:bidi w:val="0"/>
              <w:spacing w:before="0" w:after="283"/>
              <w:jc w:val="left"/>
              <w:rPr/>
            </w:pPr>
            <w:hyperlink w:anchor="quantitative_and_qualitative">
              <w:r>
                <w:rPr>
                  <w:rStyle w:val="InternetLink"/>
                  <w:rFonts w:ascii="Times New Roman" w:hAnsi="Times New Roman"/>
                  <w:color w:val="0000FF"/>
                  <w:sz w:val="20"/>
                  <w:u w:val="single"/>
                </w:rPr>
                <w:t>Quantitative and Qualitative Disclosures about Market Risk</w:t>
              </w:r>
            </w:hyperlink>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8" w:type="dxa"/>
            <w:tcBorders/>
            <w:tcMar>
              <w:top w:w="0" w:type="dxa"/>
              <w:left w:w="0" w:type="dxa"/>
              <w:bottom w:w="0" w:type="dxa"/>
              <w:right w:w="0" w:type="dxa"/>
            </w:tcMar>
            <w:vAlign w:val="center"/>
          </w:tcPr>
          <w:p>
            <w:pPr>
              <w:pStyle w:val="TableContents"/>
              <w:bidi w:val="0"/>
              <w:spacing w:before="0" w:after="283"/>
              <w:jc w:val="left"/>
              <w:rPr/>
            </w:pPr>
            <w:hyperlink w:anchor="commodity_price">
              <w:r>
                <w:rPr>
                  <w:rStyle w:val="InternetLink"/>
                  <w:rFonts w:ascii="Times New Roman" w:hAnsi="Times New Roman"/>
                  <w:color w:val="0000FF"/>
                  <w:sz w:val="20"/>
                  <w:u w:val="single"/>
                </w:rPr>
                <w:t>Commodity Price Risk</w:t>
              </w:r>
            </w:hyperlink>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8" w:type="dxa"/>
            <w:tcBorders/>
            <w:tcMar>
              <w:top w:w="0" w:type="dxa"/>
              <w:left w:w="0" w:type="dxa"/>
              <w:bottom w:w="0" w:type="dxa"/>
              <w:right w:w="0" w:type="dxa"/>
            </w:tcMar>
            <w:vAlign w:val="center"/>
          </w:tcPr>
          <w:p>
            <w:pPr>
              <w:pStyle w:val="TableContents"/>
              <w:bidi w:val="0"/>
              <w:spacing w:before="0" w:after="283"/>
              <w:jc w:val="left"/>
              <w:rPr/>
            </w:pPr>
            <w:hyperlink w:anchor="derivative_instruments">
              <w:r>
                <w:rPr>
                  <w:rStyle w:val="InternetLink"/>
                  <w:rFonts w:ascii="Times New Roman" w:hAnsi="Times New Roman"/>
                  <w:color w:val="0000FF"/>
                  <w:sz w:val="20"/>
                  <w:u w:val="single"/>
                </w:rPr>
                <w:t>Derivative Instruments</w:t>
              </w:r>
            </w:hyperlink>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8" w:type="dxa"/>
            <w:tcBorders/>
            <w:tcMar>
              <w:top w:w="0" w:type="dxa"/>
              <w:left w:w="0" w:type="dxa"/>
              <w:bottom w:w="0" w:type="dxa"/>
              <w:right w:w="0" w:type="dxa"/>
            </w:tcMar>
            <w:vAlign w:val="center"/>
          </w:tcPr>
          <w:p>
            <w:pPr>
              <w:pStyle w:val="TableContents"/>
              <w:bidi w:val="0"/>
              <w:spacing w:before="0" w:after="283"/>
              <w:jc w:val="left"/>
              <w:rPr/>
            </w:pPr>
            <w:hyperlink w:anchor="other_commodity_risk">
              <w:r>
                <w:rPr>
                  <w:rStyle w:val="InternetLink"/>
                  <w:rFonts w:ascii="Times New Roman" w:hAnsi="Times New Roman"/>
                  <w:color w:val="0000FF"/>
                  <w:sz w:val="20"/>
                  <w:u w:val="single"/>
                </w:rPr>
                <w:t>Other Commodity Risk</w:t>
              </w:r>
            </w:hyperlink>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47</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8" w:type="dxa"/>
            <w:tcBorders/>
            <w:tcMar>
              <w:top w:w="0" w:type="dxa"/>
              <w:left w:w="0" w:type="dxa"/>
              <w:bottom w:w="0" w:type="dxa"/>
              <w:right w:w="0" w:type="dxa"/>
            </w:tcMar>
            <w:vAlign w:val="center"/>
          </w:tcPr>
          <w:p>
            <w:pPr>
              <w:pStyle w:val="TableContents"/>
              <w:bidi w:val="0"/>
              <w:spacing w:before="0" w:after="283"/>
              <w:jc w:val="left"/>
              <w:rPr/>
            </w:pPr>
            <w:hyperlink w:anchor="commodity_sensitivity">
              <w:r>
                <w:rPr>
                  <w:rStyle w:val="InternetLink"/>
                  <w:rFonts w:ascii="Times New Roman" w:hAnsi="Times New Roman"/>
                  <w:color w:val="0000FF"/>
                  <w:sz w:val="20"/>
                  <w:u w:val="single"/>
                </w:rPr>
                <w:t>Commodity Sensitivity Analysis</w:t>
              </w:r>
            </w:hyperlink>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47</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8" w:type="dxa"/>
            <w:tcBorders/>
            <w:tcMar>
              <w:top w:w="0" w:type="dxa"/>
              <w:left w:w="0" w:type="dxa"/>
              <w:bottom w:w="0" w:type="dxa"/>
              <w:right w:w="0" w:type="dxa"/>
            </w:tcMar>
            <w:vAlign w:val="center"/>
          </w:tcPr>
          <w:p>
            <w:pPr>
              <w:pStyle w:val="TableContents"/>
              <w:bidi w:val="0"/>
              <w:spacing w:before="0" w:after="283"/>
              <w:jc w:val="left"/>
              <w:rPr/>
            </w:pPr>
            <w:hyperlink w:anchor="counterparty_risk">
              <w:r>
                <w:rPr>
                  <w:rStyle w:val="InternetLink"/>
                  <w:rFonts w:ascii="Times New Roman" w:hAnsi="Times New Roman"/>
                  <w:color w:val="0000FF"/>
                  <w:sz w:val="20"/>
                  <w:u w:val="single"/>
                </w:rPr>
                <w:t>Counterparty Risk</w:t>
              </w:r>
            </w:hyperlink>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47</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8" w:type="dxa"/>
            <w:tcBorders/>
            <w:tcMar>
              <w:top w:w="0" w:type="dxa"/>
              <w:left w:w="0" w:type="dxa"/>
              <w:bottom w:w="0" w:type="dxa"/>
              <w:right w:w="0" w:type="dxa"/>
            </w:tcMar>
            <w:vAlign w:val="center"/>
          </w:tcPr>
          <w:p>
            <w:pPr>
              <w:pStyle w:val="TableContents"/>
              <w:bidi w:val="0"/>
              <w:spacing w:before="0" w:after="283"/>
              <w:jc w:val="left"/>
              <w:rPr/>
            </w:pPr>
            <w:hyperlink w:anchor="interest_rate_risk">
              <w:r>
                <w:rPr>
                  <w:rStyle w:val="InternetLink"/>
                  <w:rFonts w:ascii="Times New Roman" w:hAnsi="Times New Roman"/>
                  <w:color w:val="0000FF"/>
                  <w:sz w:val="20"/>
                  <w:u w:val="single"/>
                </w:rPr>
                <w:t>Interest Rate Risk</w:t>
              </w:r>
            </w:hyperlink>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47</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8"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8.</w:t>
            </w:r>
          </w:p>
        </w:tc>
        <w:tc>
          <w:tcPr>
            <w:tcW w:w="8268" w:type="dxa"/>
            <w:tcBorders/>
            <w:tcMar>
              <w:top w:w="0" w:type="dxa"/>
              <w:left w:w="0" w:type="dxa"/>
              <w:bottom w:w="0" w:type="dxa"/>
              <w:right w:w="0" w:type="dxa"/>
            </w:tcMar>
            <w:vAlign w:val="center"/>
          </w:tcPr>
          <w:p>
            <w:pPr>
              <w:pStyle w:val="TableContents"/>
              <w:bidi w:val="0"/>
              <w:spacing w:before="0" w:after="283"/>
              <w:jc w:val="left"/>
              <w:rPr/>
            </w:pPr>
            <w:hyperlink w:anchor="item_8_financial_statements_supplementar">
              <w:r>
                <w:rPr>
                  <w:rStyle w:val="InternetLink"/>
                  <w:rFonts w:ascii="Times New Roman" w:hAnsi="Times New Roman"/>
                  <w:color w:val="0000FF"/>
                  <w:sz w:val="20"/>
                  <w:u w:val="single"/>
                </w:rPr>
                <w:t>Financial Statements and Supplementary Data</w:t>
              </w:r>
            </w:hyperlink>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F-1</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8"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w:t>
            </w:r>
          </w:p>
        </w:tc>
        <w:tc>
          <w:tcPr>
            <w:tcW w:w="8268" w:type="dxa"/>
            <w:tcBorders/>
            <w:tcMar>
              <w:top w:w="0" w:type="dxa"/>
              <w:left w:w="0" w:type="dxa"/>
              <w:bottom w:w="0" w:type="dxa"/>
              <w:right w:w="0" w:type="dxa"/>
            </w:tcMar>
            <w:vAlign w:val="center"/>
          </w:tcPr>
          <w:p>
            <w:pPr>
              <w:pStyle w:val="TableContents"/>
              <w:bidi w:val="0"/>
              <w:spacing w:before="0" w:after="283"/>
              <w:jc w:val="left"/>
              <w:rPr/>
            </w:pPr>
            <w:hyperlink w:anchor="changes_in_and_disagreements">
              <w:r>
                <w:rPr>
                  <w:rStyle w:val="InternetLink"/>
                  <w:rFonts w:ascii="Times New Roman" w:hAnsi="Times New Roman"/>
                  <w:color w:val="0000FF"/>
                  <w:sz w:val="20"/>
                  <w:u w:val="single"/>
                </w:rPr>
                <w:t>Changes in and Disagreements with Accountants on Accounting and Financial Disclosure</w:t>
              </w:r>
            </w:hyperlink>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8"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9A.</w:t>
            </w:r>
          </w:p>
        </w:tc>
        <w:tc>
          <w:tcPr>
            <w:tcW w:w="8268" w:type="dxa"/>
            <w:tcBorders/>
            <w:tcMar>
              <w:top w:w="0" w:type="dxa"/>
              <w:left w:w="0" w:type="dxa"/>
              <w:bottom w:w="0" w:type="dxa"/>
              <w:right w:w="0" w:type="dxa"/>
            </w:tcMar>
            <w:vAlign w:val="center"/>
          </w:tcPr>
          <w:p>
            <w:pPr>
              <w:pStyle w:val="TableContents"/>
              <w:bidi w:val="0"/>
              <w:spacing w:before="0" w:after="283"/>
              <w:jc w:val="left"/>
              <w:rPr/>
            </w:pPr>
            <w:hyperlink w:anchor="item_9a_controls_and_procedures">
              <w:r>
                <w:rPr>
                  <w:rStyle w:val="InternetLink"/>
                  <w:rFonts w:ascii="Times New Roman" w:hAnsi="Times New Roman"/>
                  <w:color w:val="0000FF"/>
                  <w:sz w:val="20"/>
                  <w:u w:val="single"/>
                </w:rPr>
                <w:t>Controls and Procedures</w:t>
              </w:r>
            </w:hyperlink>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8"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9B.</w:t>
            </w:r>
          </w:p>
        </w:tc>
        <w:tc>
          <w:tcPr>
            <w:tcW w:w="8268" w:type="dxa"/>
            <w:tcBorders/>
            <w:tcMar>
              <w:top w:w="0" w:type="dxa"/>
              <w:left w:w="0" w:type="dxa"/>
              <w:bottom w:w="0" w:type="dxa"/>
              <w:right w:w="0" w:type="dxa"/>
            </w:tcMar>
            <w:vAlign w:val="center"/>
          </w:tcPr>
          <w:p>
            <w:pPr>
              <w:pStyle w:val="TableContents"/>
              <w:bidi w:val="0"/>
              <w:spacing w:before="0" w:after="283"/>
              <w:jc w:val="left"/>
              <w:rPr/>
            </w:pPr>
            <w:hyperlink w:anchor="item_9b_other_information">
              <w:r>
                <w:rPr>
                  <w:rStyle w:val="InternetLink"/>
                  <w:rFonts w:ascii="Times New Roman" w:hAnsi="Times New Roman"/>
                  <w:color w:val="0000FF"/>
                  <w:sz w:val="20"/>
                  <w:u w:val="single"/>
                </w:rPr>
                <w:t>Other Information</w:t>
              </w:r>
            </w:hyperlink>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8"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9C.</w:t>
            </w:r>
          </w:p>
        </w:tc>
        <w:tc>
          <w:tcPr>
            <w:tcW w:w="8268" w:type="dxa"/>
            <w:tcBorders/>
            <w:tcMar>
              <w:top w:w="0" w:type="dxa"/>
              <w:left w:w="0" w:type="dxa"/>
              <w:bottom w:w="0" w:type="dxa"/>
              <w:right w:w="0" w:type="dxa"/>
            </w:tcMar>
            <w:vAlign w:val="center"/>
          </w:tcPr>
          <w:p>
            <w:pPr>
              <w:pStyle w:val="TableContents"/>
              <w:bidi w:val="0"/>
              <w:spacing w:before="0" w:after="283"/>
              <w:jc w:val="left"/>
              <w:rPr/>
            </w:pPr>
            <w:hyperlink w:anchor="disclosure_regarding_foreign">
              <w:r>
                <w:rPr>
                  <w:rStyle w:val="InternetLink"/>
                  <w:rFonts w:ascii="Times New Roman" w:hAnsi="Times New Roman"/>
                  <w:color w:val="0000FF"/>
                  <w:sz w:val="20"/>
                  <w:u w:val="single"/>
                </w:rPr>
                <w:t>Disclosure Regarding Foreign Jurisdictions that Prevent Inspections</w:t>
              </w:r>
            </w:hyperlink>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8"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III</w:t>
            </w:r>
          </w:p>
        </w:tc>
        <w:tc>
          <w:tcPr>
            <w:tcW w:w="8268"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8"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10.</w:t>
            </w:r>
          </w:p>
        </w:tc>
        <w:tc>
          <w:tcPr>
            <w:tcW w:w="8268" w:type="dxa"/>
            <w:tcBorders/>
            <w:tcMar>
              <w:top w:w="0" w:type="dxa"/>
              <w:left w:w="0" w:type="dxa"/>
              <w:bottom w:w="0" w:type="dxa"/>
              <w:right w:w="0" w:type="dxa"/>
            </w:tcMar>
            <w:vAlign w:val="center"/>
          </w:tcPr>
          <w:p>
            <w:pPr>
              <w:pStyle w:val="TableContents"/>
              <w:bidi w:val="0"/>
              <w:spacing w:before="0" w:after="283"/>
              <w:jc w:val="left"/>
              <w:rPr/>
            </w:pPr>
            <w:hyperlink w:anchor="item_10_directors_executive_ficers_corpo">
              <w:r>
                <w:rPr>
                  <w:rStyle w:val="InternetLink"/>
                  <w:rFonts w:ascii="Times New Roman" w:hAnsi="Times New Roman"/>
                  <w:color w:val="0000FF"/>
                  <w:sz w:val="20"/>
                  <w:u w:val="single"/>
                </w:rPr>
                <w:t>Directors, Executive Officers and Corporate Governance</w:t>
              </w:r>
            </w:hyperlink>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8"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11.</w:t>
            </w:r>
          </w:p>
        </w:tc>
        <w:tc>
          <w:tcPr>
            <w:tcW w:w="8268" w:type="dxa"/>
            <w:tcBorders/>
            <w:tcMar>
              <w:top w:w="0" w:type="dxa"/>
              <w:left w:w="0" w:type="dxa"/>
              <w:bottom w:w="0" w:type="dxa"/>
              <w:right w:w="0" w:type="dxa"/>
            </w:tcMar>
            <w:vAlign w:val="center"/>
          </w:tcPr>
          <w:p>
            <w:pPr>
              <w:pStyle w:val="TableContents"/>
              <w:bidi w:val="0"/>
              <w:spacing w:before="0" w:after="283"/>
              <w:jc w:val="left"/>
              <w:rPr/>
            </w:pPr>
            <w:hyperlink w:anchor="item_11_executive_compensation">
              <w:r>
                <w:rPr>
                  <w:rStyle w:val="InternetLink"/>
                  <w:rFonts w:ascii="Times New Roman" w:hAnsi="Times New Roman"/>
                  <w:color w:val="0000FF"/>
                  <w:sz w:val="20"/>
                  <w:u w:val="single"/>
                </w:rPr>
                <w:t>Executive Compensation</w:t>
              </w:r>
            </w:hyperlink>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8"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12.</w:t>
            </w:r>
          </w:p>
        </w:tc>
        <w:tc>
          <w:tcPr>
            <w:tcW w:w="8268" w:type="dxa"/>
            <w:tcBorders/>
            <w:tcMar>
              <w:top w:w="0" w:type="dxa"/>
              <w:left w:w="0" w:type="dxa"/>
              <w:bottom w:w="0" w:type="dxa"/>
              <w:right w:w="0" w:type="dxa"/>
            </w:tcMar>
            <w:vAlign w:val="center"/>
          </w:tcPr>
          <w:p>
            <w:pPr>
              <w:pStyle w:val="TableContents"/>
              <w:bidi w:val="0"/>
              <w:spacing w:before="0" w:after="283"/>
              <w:jc w:val="left"/>
              <w:rPr/>
            </w:pPr>
            <w:hyperlink w:anchor="item_12_security_ownership_certain_benef">
              <w:r>
                <w:rPr>
                  <w:rStyle w:val="InternetLink"/>
                  <w:rFonts w:ascii="Times New Roman" w:hAnsi="Times New Roman"/>
                  <w:color w:val="0000FF"/>
                  <w:sz w:val="20"/>
                  <w:u w:val="single"/>
                </w:rPr>
                <w:t>Security Ownership of Certain Beneficial Owners and Management and Related Stockholder Matters</w:t>
              </w:r>
            </w:hyperlink>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8"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13.</w:t>
            </w:r>
          </w:p>
        </w:tc>
        <w:tc>
          <w:tcPr>
            <w:tcW w:w="8268" w:type="dxa"/>
            <w:tcBorders/>
            <w:tcMar>
              <w:top w:w="0" w:type="dxa"/>
              <w:left w:w="0" w:type="dxa"/>
              <w:bottom w:w="0" w:type="dxa"/>
              <w:right w:w="0" w:type="dxa"/>
            </w:tcMar>
            <w:vAlign w:val="center"/>
          </w:tcPr>
          <w:p>
            <w:pPr>
              <w:pStyle w:val="TableContents"/>
              <w:bidi w:val="0"/>
              <w:spacing w:before="0" w:after="283"/>
              <w:jc w:val="left"/>
              <w:rPr/>
            </w:pPr>
            <w:hyperlink w:anchor="certain_relationships">
              <w:r>
                <w:rPr>
                  <w:rStyle w:val="InternetLink"/>
                  <w:rFonts w:ascii="Times New Roman" w:hAnsi="Times New Roman"/>
                  <w:color w:val="0000FF"/>
                  <w:sz w:val="20"/>
                  <w:u w:val="single"/>
                </w:rPr>
                <w:t>Certain Relationships and Related Transactions, and Director Independence</w:t>
              </w:r>
            </w:hyperlink>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8"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14.</w:t>
            </w:r>
          </w:p>
        </w:tc>
        <w:tc>
          <w:tcPr>
            <w:tcW w:w="8268" w:type="dxa"/>
            <w:tcBorders/>
            <w:tcMar>
              <w:top w:w="0" w:type="dxa"/>
              <w:left w:w="0" w:type="dxa"/>
              <w:bottom w:w="0" w:type="dxa"/>
              <w:right w:w="0" w:type="dxa"/>
            </w:tcMar>
            <w:vAlign w:val="center"/>
          </w:tcPr>
          <w:p>
            <w:pPr>
              <w:pStyle w:val="TableContents"/>
              <w:bidi w:val="0"/>
              <w:spacing w:before="0" w:after="283"/>
              <w:jc w:val="left"/>
              <w:rPr/>
            </w:pPr>
            <w:hyperlink w:anchor="principal_accountant_fees">
              <w:r>
                <w:rPr>
                  <w:rStyle w:val="InternetLink"/>
                  <w:rFonts w:ascii="Times New Roman" w:hAnsi="Times New Roman"/>
                  <w:color w:val="0000FF"/>
                  <w:sz w:val="20"/>
                  <w:u w:val="single"/>
                </w:rPr>
                <w:t>Principal Accountant Fees and Services</w:t>
              </w:r>
            </w:hyperlink>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8"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IV</w:t>
            </w:r>
          </w:p>
        </w:tc>
        <w:tc>
          <w:tcPr>
            <w:tcW w:w="8268"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8"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15.</w:t>
            </w:r>
          </w:p>
        </w:tc>
        <w:tc>
          <w:tcPr>
            <w:tcW w:w="8268" w:type="dxa"/>
            <w:tcBorders/>
            <w:tcMar>
              <w:top w:w="0" w:type="dxa"/>
              <w:left w:w="0" w:type="dxa"/>
              <w:bottom w:w="0" w:type="dxa"/>
              <w:right w:w="0" w:type="dxa"/>
            </w:tcMar>
            <w:vAlign w:val="center"/>
          </w:tcPr>
          <w:p>
            <w:pPr>
              <w:pStyle w:val="TableContents"/>
              <w:bidi w:val="0"/>
              <w:spacing w:before="0" w:after="283"/>
              <w:jc w:val="left"/>
              <w:rPr/>
            </w:pPr>
            <w:hyperlink w:anchor="item_15_exhibits_financial_statement_sch">
              <w:r>
                <w:rPr>
                  <w:rStyle w:val="InternetLink"/>
                  <w:rFonts w:ascii="Times New Roman" w:hAnsi="Times New Roman"/>
                  <w:color w:val="0000FF"/>
                  <w:sz w:val="20"/>
                  <w:u w:val="single"/>
                </w:rPr>
                <w:t>Exhibits and Financial Statement Schedules</w:t>
              </w:r>
            </w:hyperlink>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8"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b/>
                  <w:color w:val="0000FF"/>
                  <w:sz w:val="20"/>
                  <w:u w:val="single"/>
                </w:rPr>
                <w:t>SIGNATURES</w:t>
              </w:r>
            </w:hyperlink>
          </w:p>
        </w:tc>
        <w:tc>
          <w:tcPr>
            <w:tcW w:w="8268"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360"/>
        <w:jc w:val="left"/>
        <w:rPr>
          <w:rFonts w:ascii="Times New Roman" w:hAnsi="Times New Roman"/>
          <w:b/>
          <w:color w:val="000000"/>
          <w:sz w:val="20"/>
        </w:rPr>
      </w:pPr>
      <w:bookmarkStart w:id="3" w:name="glossary"/>
      <w:bookmarkEnd w:id="3"/>
      <w:r>
        <w:rPr>
          <w:rFonts w:ascii="Times New Roman" w:hAnsi="Times New Roman"/>
          <w:b/>
          <w:color w:val="000000"/>
          <w:sz w:val="20"/>
        </w:rPr>
        <w:t>GLOSSARY OF CERTAIN DEFINED TERMS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terms defined in this glossary are used in this report. </w:t>
      </w:r>
    </w:p>
    <w:p>
      <w:pPr>
        <w:pStyle w:val="TextBody"/>
        <w:bidi w:val="0"/>
        <w:spacing w:before="0" w:after="180"/>
        <w:jc w:val="left"/>
        <w:rPr>
          <w:rFonts w:ascii="Times New Roman" w:hAnsi="Times New Roman"/>
          <w:sz w:val="20"/>
        </w:rPr>
      </w:pPr>
      <w:r>
        <w:rPr>
          <w:rFonts w:ascii="Times New Roman" w:hAnsi="Times New Roman"/>
          <w:i/>
          <w:color w:val="000000"/>
          <w:sz w:val="20"/>
        </w:rPr>
        <w:t>bbl.</w:t>
      </w:r>
      <w:r>
        <w:rPr>
          <w:rFonts w:ascii="Times New Roman" w:hAnsi="Times New Roman"/>
          <w:color w:val="000000"/>
          <w:sz w:val="20"/>
        </w:rPr>
        <w:t xml:space="preserve"> One stock tank barrel, or 42 U.S. gallons liquid volumes, used herein in reference to crude oil or other liquid hydrocarbons. </w:t>
      </w:r>
    </w:p>
    <w:p>
      <w:pPr>
        <w:pStyle w:val="TextBody"/>
        <w:bidi w:val="0"/>
        <w:spacing w:before="0" w:after="180"/>
        <w:jc w:val="left"/>
        <w:rPr>
          <w:rFonts w:ascii="Times New Roman" w:hAnsi="Times New Roman"/>
          <w:sz w:val="20"/>
        </w:rPr>
      </w:pPr>
      <w:r>
        <w:rPr>
          <w:rFonts w:ascii="Times New Roman" w:hAnsi="Times New Roman"/>
          <w:i/>
          <w:color w:val="000000"/>
          <w:sz w:val="20"/>
        </w:rPr>
        <w:t>bcf</w:t>
      </w:r>
      <w:r>
        <w:rPr>
          <w:rFonts w:ascii="Times New Roman" w:hAnsi="Times New Roman"/>
          <w:color w:val="000000"/>
          <w:sz w:val="20"/>
        </w:rPr>
        <w:t xml:space="preserve">. One billion cubic feet of gas. </w:t>
      </w:r>
    </w:p>
    <w:p>
      <w:pPr>
        <w:pStyle w:val="TextBody"/>
        <w:bidi w:val="0"/>
        <w:spacing w:before="0" w:after="180"/>
        <w:jc w:val="left"/>
        <w:rPr>
          <w:rFonts w:ascii="Times New Roman" w:hAnsi="Times New Roman"/>
          <w:sz w:val="20"/>
        </w:rPr>
      </w:pPr>
      <w:r>
        <w:rPr>
          <w:rFonts w:ascii="Times New Roman" w:hAnsi="Times New Roman"/>
          <w:i/>
          <w:color w:val="000000"/>
          <w:sz w:val="20"/>
        </w:rPr>
        <w:t xml:space="preserve">bcfe. </w:t>
      </w:r>
      <w:r>
        <w:rPr>
          <w:rFonts w:ascii="Times New Roman" w:hAnsi="Times New Roman"/>
          <w:color w:val="000000"/>
          <w:sz w:val="20"/>
        </w:rPr>
        <w:t xml:space="preserve">One billion cubic feet of natural gas equivalents, based on a ratio of 6 mcf for each barrel of oil or NGLs, which reflects relative energy content. </w:t>
      </w:r>
    </w:p>
    <w:p>
      <w:pPr>
        <w:pStyle w:val="TextBody"/>
        <w:bidi w:val="0"/>
        <w:spacing w:before="0" w:after="180"/>
        <w:jc w:val="left"/>
        <w:rPr>
          <w:rFonts w:ascii="Times New Roman" w:hAnsi="Times New Roman"/>
          <w:sz w:val="20"/>
        </w:rPr>
      </w:pPr>
      <w:r>
        <w:rPr>
          <w:rFonts w:ascii="Times New Roman" w:hAnsi="Times New Roman"/>
          <w:i/>
          <w:color w:val="000000"/>
          <w:sz w:val="20"/>
        </w:rPr>
        <w:t>btu.</w:t>
      </w:r>
      <w:r>
        <w:rPr>
          <w:rFonts w:ascii="Times New Roman" w:hAnsi="Times New Roman"/>
          <w:color w:val="000000"/>
          <w:sz w:val="20"/>
        </w:rPr>
        <w:t xml:space="preserve"> One British thermal unit, an energy equivalence measure. A British thermal unit is the heat required to raise the temperature of one pound of water from 58.5 to 59.5 degrees Fahrenheit.</w:t>
      </w:r>
    </w:p>
    <w:p>
      <w:pPr>
        <w:pStyle w:val="TextBody"/>
        <w:bidi w:val="0"/>
        <w:spacing w:before="0" w:after="180"/>
        <w:jc w:val="left"/>
        <w:rPr>
          <w:rFonts w:ascii="Times New Roman" w:hAnsi="Times New Roman"/>
          <w:sz w:val="20"/>
        </w:rPr>
      </w:pPr>
      <w:r>
        <w:rPr>
          <w:rFonts w:ascii="Times New Roman" w:hAnsi="Times New Roman"/>
          <w:i/>
          <w:color w:val="000000"/>
          <w:sz w:val="20"/>
        </w:rPr>
        <w:t xml:space="preserve">Development well. </w:t>
      </w:r>
      <w:r>
        <w:rPr>
          <w:rFonts w:ascii="Times New Roman" w:hAnsi="Times New Roman"/>
          <w:color w:val="000000"/>
          <w:sz w:val="20"/>
        </w:rPr>
        <w:t xml:space="preserve">A well drilled within the proved area of an oil or natural gas reservoir to the depth of a stratigraphic horizon known to be productive. </w:t>
      </w:r>
    </w:p>
    <w:p>
      <w:pPr>
        <w:pStyle w:val="TextBody"/>
        <w:bidi w:val="0"/>
        <w:spacing w:before="0" w:after="180"/>
        <w:jc w:val="left"/>
        <w:rPr>
          <w:rFonts w:ascii="Times New Roman" w:hAnsi="Times New Roman"/>
          <w:sz w:val="20"/>
        </w:rPr>
      </w:pPr>
      <w:r>
        <w:rPr>
          <w:rFonts w:ascii="Times New Roman" w:hAnsi="Times New Roman"/>
          <w:i/>
          <w:color w:val="000000"/>
          <w:sz w:val="20"/>
        </w:rPr>
        <w:t xml:space="preserve">Developed Oil and Gas Reserves. </w:t>
      </w:r>
      <w:r>
        <w:rPr>
          <w:rFonts w:ascii="Times New Roman" w:hAnsi="Times New Roman"/>
          <w:color w:val="000000"/>
          <w:sz w:val="20"/>
        </w:rPr>
        <w:t>Oil and natural gas reserves of any category that can be expected to be recovered through existing wells with existing equipment and operating methods or in which the cost of the required equipment is relatively minor compared to the cost of a new well and through installed extraction equipment and infrastructure operational at the time of the reserves estimate if the extraction is by means not involving a well.</w:t>
      </w:r>
    </w:p>
    <w:p>
      <w:pPr>
        <w:pStyle w:val="TextBody"/>
        <w:bidi w:val="0"/>
        <w:spacing w:before="0" w:after="180"/>
        <w:jc w:val="left"/>
        <w:rPr>
          <w:rFonts w:ascii="Times New Roman" w:hAnsi="Times New Roman"/>
          <w:sz w:val="20"/>
        </w:rPr>
      </w:pPr>
      <w:r>
        <w:rPr>
          <w:rFonts w:ascii="Times New Roman" w:hAnsi="Times New Roman"/>
          <w:i/>
          <w:color w:val="000000"/>
          <w:sz w:val="20"/>
        </w:rPr>
        <w:t xml:space="preserve">Dry hole. </w:t>
      </w:r>
      <w:r>
        <w:rPr>
          <w:rFonts w:ascii="Times New Roman" w:hAnsi="Times New Roman"/>
          <w:color w:val="000000"/>
          <w:sz w:val="20"/>
        </w:rPr>
        <w:t xml:space="preserve">A well found to be incapable of producing oil or natural gas in sufficient economic quantities. </w:t>
      </w:r>
    </w:p>
    <w:p>
      <w:pPr>
        <w:pStyle w:val="TextBody"/>
        <w:bidi w:val="0"/>
        <w:jc w:val="left"/>
        <w:rPr>
          <w:rFonts w:ascii="Times New Roman" w:hAnsi="Times New Roman"/>
          <w:sz w:val="20"/>
        </w:rPr>
      </w:pPr>
      <w:r>
        <w:rPr>
          <w:rFonts w:ascii="Times New Roman" w:hAnsi="Times New Roman"/>
          <w:i/>
          <w:color w:val="000000"/>
          <w:sz w:val="20"/>
        </w:rPr>
        <w:t xml:space="preserve">Exploratory well. </w:t>
      </w:r>
      <w:r>
        <w:rPr>
          <w:rFonts w:ascii="Times New Roman" w:hAnsi="Times New Roman"/>
          <w:color w:val="000000"/>
          <w:sz w:val="20"/>
        </w:rPr>
        <w:t xml:space="preserve">A well drilled to find a new field or to find a new reservoir in a field previously found to be productive of oil or natural gas in another reservoir. Generally, an exploratory well is any well that is not a development well, an extension well, a service well, or a stratigraphic test well. </w:t>
      </w:r>
    </w:p>
    <w:p>
      <w:pPr>
        <w:pStyle w:val="TextBody"/>
        <w:bidi w:val="0"/>
        <w:spacing w:before="180" w:after="180"/>
        <w:jc w:val="left"/>
        <w:rPr>
          <w:rFonts w:ascii="Times New Roman" w:hAnsi="Times New Roman"/>
          <w:sz w:val="20"/>
        </w:rPr>
      </w:pPr>
      <w:r>
        <w:rPr>
          <w:rFonts w:ascii="Times New Roman" w:hAnsi="Times New Roman"/>
          <w:i/>
          <w:color w:val="000000"/>
          <w:sz w:val="20"/>
        </w:rPr>
        <w:t>Extension well.</w:t>
      </w:r>
      <w:r>
        <w:rPr>
          <w:rFonts w:ascii="Times New Roman" w:hAnsi="Times New Roman"/>
          <w:color w:val="000000"/>
          <w:sz w:val="20"/>
        </w:rPr>
        <w:t xml:space="preserve"> An extension well is a well drilled to extend the limits of a known reservoir.</w:t>
      </w:r>
    </w:p>
    <w:p>
      <w:pPr>
        <w:pStyle w:val="TextBody"/>
        <w:bidi w:val="0"/>
        <w:spacing w:before="0" w:after="180"/>
        <w:jc w:val="left"/>
        <w:rPr>
          <w:rFonts w:ascii="Times New Roman" w:hAnsi="Times New Roman"/>
          <w:sz w:val="20"/>
        </w:rPr>
      </w:pPr>
      <w:r>
        <w:rPr>
          <w:rFonts w:ascii="Times New Roman" w:hAnsi="Times New Roman"/>
          <w:i/>
          <w:color w:val="000000"/>
          <w:sz w:val="20"/>
        </w:rPr>
        <w:t xml:space="preserve">Gross acres or gross wells. </w:t>
      </w:r>
      <w:r>
        <w:rPr>
          <w:rFonts w:ascii="Times New Roman" w:hAnsi="Times New Roman"/>
          <w:color w:val="000000"/>
          <w:sz w:val="20"/>
        </w:rPr>
        <w:t xml:space="preserve">The total acres or wells, as the case may be, in which a working interest is owned. </w:t>
      </w:r>
    </w:p>
    <w:p>
      <w:pPr>
        <w:pStyle w:val="TextBody"/>
        <w:bidi w:val="0"/>
        <w:spacing w:before="0" w:after="180"/>
        <w:jc w:val="left"/>
        <w:rPr>
          <w:rFonts w:ascii="Times New Roman" w:hAnsi="Times New Roman"/>
          <w:sz w:val="20"/>
        </w:rPr>
      </w:pPr>
      <w:r>
        <w:rPr>
          <w:rFonts w:ascii="Times New Roman" w:hAnsi="Times New Roman"/>
          <w:i/>
          <w:color w:val="000000"/>
          <w:sz w:val="20"/>
        </w:rPr>
        <w:t>Henry Hub price</w:t>
      </w:r>
      <w:r>
        <w:rPr>
          <w:rFonts w:ascii="Times New Roman" w:hAnsi="Times New Roman"/>
          <w:color w:val="000000"/>
          <w:sz w:val="20"/>
        </w:rPr>
        <w:t>. A natural gas benchmark price quoted at settlement date average.</w:t>
      </w:r>
    </w:p>
    <w:p>
      <w:pPr>
        <w:pStyle w:val="TextBody"/>
        <w:bidi w:val="0"/>
        <w:spacing w:before="0" w:after="180"/>
        <w:jc w:val="left"/>
        <w:rPr>
          <w:rFonts w:ascii="Times New Roman" w:hAnsi="Times New Roman"/>
          <w:sz w:val="20"/>
        </w:rPr>
      </w:pPr>
      <w:r>
        <w:rPr>
          <w:rFonts w:ascii="Times New Roman" w:hAnsi="Times New Roman"/>
          <w:i/>
          <w:color w:val="000000"/>
          <w:sz w:val="20"/>
        </w:rPr>
        <w:t xml:space="preserve">mbbl. </w:t>
      </w:r>
      <w:r>
        <w:rPr>
          <w:rFonts w:ascii="Times New Roman" w:hAnsi="Times New Roman"/>
          <w:color w:val="000000"/>
          <w:sz w:val="20"/>
        </w:rPr>
        <w:t xml:space="preserve">One thousand barrels of oil or other liquid hydrocarbons. </w:t>
      </w:r>
    </w:p>
    <w:p>
      <w:pPr>
        <w:pStyle w:val="TextBody"/>
        <w:bidi w:val="0"/>
        <w:spacing w:before="0" w:after="180"/>
        <w:jc w:val="left"/>
        <w:rPr>
          <w:rFonts w:ascii="Times New Roman" w:hAnsi="Times New Roman"/>
          <w:sz w:val="20"/>
        </w:rPr>
      </w:pPr>
      <w:r>
        <w:rPr>
          <w:rFonts w:ascii="Times New Roman" w:hAnsi="Times New Roman"/>
          <w:i/>
          <w:color w:val="000000"/>
          <w:sz w:val="20"/>
        </w:rPr>
        <w:t xml:space="preserve">mcf. </w:t>
      </w:r>
      <w:r>
        <w:rPr>
          <w:rFonts w:ascii="Times New Roman" w:hAnsi="Times New Roman"/>
          <w:color w:val="000000"/>
          <w:sz w:val="20"/>
        </w:rPr>
        <w:t xml:space="preserve">One thousand cubic feet of gas. </w:t>
      </w:r>
    </w:p>
    <w:p>
      <w:pPr>
        <w:pStyle w:val="TextBody"/>
        <w:bidi w:val="0"/>
        <w:spacing w:before="0" w:after="180"/>
        <w:jc w:val="left"/>
        <w:rPr>
          <w:rFonts w:ascii="Times New Roman" w:hAnsi="Times New Roman"/>
          <w:sz w:val="20"/>
        </w:rPr>
      </w:pPr>
      <w:r>
        <w:rPr>
          <w:rFonts w:ascii="Times New Roman" w:hAnsi="Times New Roman"/>
          <w:i/>
          <w:color w:val="000000"/>
          <w:sz w:val="20"/>
        </w:rPr>
        <w:t xml:space="preserve">mcf per day. </w:t>
      </w:r>
      <w:r>
        <w:rPr>
          <w:rFonts w:ascii="Times New Roman" w:hAnsi="Times New Roman"/>
          <w:color w:val="000000"/>
          <w:sz w:val="20"/>
        </w:rPr>
        <w:t xml:space="preserve">One thousand cubic feet of gas per day. </w:t>
      </w:r>
    </w:p>
    <w:p>
      <w:pPr>
        <w:pStyle w:val="TextBody"/>
        <w:bidi w:val="0"/>
        <w:spacing w:before="0" w:after="180"/>
        <w:jc w:val="left"/>
        <w:rPr>
          <w:rFonts w:ascii="Times New Roman" w:hAnsi="Times New Roman"/>
          <w:sz w:val="20"/>
        </w:rPr>
      </w:pPr>
      <w:r>
        <w:rPr>
          <w:rFonts w:ascii="Times New Roman" w:hAnsi="Times New Roman"/>
          <w:i/>
          <w:color w:val="000000"/>
          <w:sz w:val="20"/>
        </w:rPr>
        <w:t xml:space="preserve">mcfe. </w:t>
      </w:r>
      <w:r>
        <w:rPr>
          <w:rFonts w:ascii="Times New Roman" w:hAnsi="Times New Roman"/>
          <w:color w:val="000000"/>
          <w:sz w:val="20"/>
        </w:rPr>
        <w:t xml:space="preserve">One thousand cubic feet of natural gas equivalents, based on a ratio of 6 mcf for each barrel of oil or NGLs, which reflects relative energy content. </w:t>
      </w:r>
    </w:p>
    <w:p>
      <w:pPr>
        <w:pStyle w:val="TextBody"/>
        <w:bidi w:val="0"/>
        <w:spacing w:before="0" w:after="180"/>
        <w:jc w:val="left"/>
        <w:rPr>
          <w:rFonts w:ascii="Times New Roman" w:hAnsi="Times New Roman"/>
          <w:sz w:val="20"/>
        </w:rPr>
      </w:pPr>
      <w:r>
        <w:rPr>
          <w:rFonts w:ascii="Times New Roman" w:hAnsi="Times New Roman"/>
          <w:i/>
          <w:color w:val="000000"/>
          <w:sz w:val="20"/>
        </w:rPr>
        <w:t xml:space="preserve">mmbbl. </w:t>
      </w:r>
      <w:r>
        <w:rPr>
          <w:rFonts w:ascii="Times New Roman" w:hAnsi="Times New Roman"/>
          <w:color w:val="000000"/>
          <w:sz w:val="20"/>
        </w:rPr>
        <w:t xml:space="preserve">One million barrels of oil or other liquid hydrocarbons. </w:t>
      </w:r>
    </w:p>
    <w:p>
      <w:pPr>
        <w:pStyle w:val="TextBody"/>
        <w:bidi w:val="0"/>
        <w:spacing w:before="0" w:after="180"/>
        <w:jc w:val="left"/>
        <w:rPr>
          <w:rFonts w:ascii="Times New Roman" w:hAnsi="Times New Roman"/>
          <w:sz w:val="20"/>
        </w:rPr>
      </w:pPr>
      <w:r>
        <w:rPr>
          <w:rFonts w:ascii="Times New Roman" w:hAnsi="Times New Roman"/>
          <w:i/>
          <w:color w:val="000000"/>
          <w:sz w:val="20"/>
        </w:rPr>
        <w:t xml:space="preserve">mmbtu. </w:t>
      </w:r>
      <w:r>
        <w:rPr>
          <w:rFonts w:ascii="Times New Roman" w:hAnsi="Times New Roman"/>
          <w:color w:val="000000"/>
          <w:sz w:val="20"/>
        </w:rPr>
        <w:t xml:space="preserve">One million British thermal units. </w:t>
      </w:r>
    </w:p>
    <w:p>
      <w:pPr>
        <w:pStyle w:val="TextBody"/>
        <w:bidi w:val="0"/>
        <w:spacing w:before="0" w:after="180"/>
        <w:jc w:val="left"/>
        <w:rPr>
          <w:rFonts w:ascii="Times New Roman" w:hAnsi="Times New Roman"/>
          <w:sz w:val="20"/>
        </w:rPr>
      </w:pPr>
      <w:r>
        <w:rPr>
          <w:rFonts w:ascii="Times New Roman" w:hAnsi="Times New Roman"/>
          <w:i/>
          <w:color w:val="000000"/>
          <w:sz w:val="20"/>
        </w:rPr>
        <w:t xml:space="preserve">mmcf. </w:t>
      </w:r>
      <w:r>
        <w:rPr>
          <w:rFonts w:ascii="Times New Roman" w:hAnsi="Times New Roman"/>
          <w:color w:val="000000"/>
          <w:sz w:val="20"/>
        </w:rPr>
        <w:t xml:space="preserve">One million cubic feet of gas. </w:t>
      </w:r>
    </w:p>
    <w:p>
      <w:pPr>
        <w:pStyle w:val="TextBody"/>
        <w:bidi w:val="0"/>
        <w:spacing w:before="0" w:after="180"/>
        <w:jc w:val="left"/>
        <w:rPr>
          <w:rFonts w:ascii="Times New Roman" w:hAnsi="Times New Roman"/>
          <w:sz w:val="20"/>
        </w:rPr>
      </w:pPr>
      <w:r>
        <w:rPr>
          <w:rFonts w:ascii="Times New Roman" w:hAnsi="Times New Roman"/>
          <w:i/>
          <w:color w:val="000000"/>
          <w:sz w:val="20"/>
        </w:rPr>
        <w:t xml:space="preserve">mmcfe. </w:t>
      </w:r>
      <w:r>
        <w:rPr>
          <w:rFonts w:ascii="Times New Roman" w:hAnsi="Times New Roman"/>
          <w:color w:val="000000"/>
          <w:sz w:val="20"/>
        </w:rPr>
        <w:t xml:space="preserve">One million cubic feet of gas equivalents. </w:t>
      </w:r>
    </w:p>
    <w:p>
      <w:pPr>
        <w:pStyle w:val="TextBody"/>
        <w:bidi w:val="0"/>
        <w:spacing w:before="0" w:after="180"/>
        <w:jc w:val="left"/>
        <w:rPr>
          <w:rFonts w:ascii="Times New Roman" w:hAnsi="Times New Roman"/>
          <w:sz w:val="20"/>
        </w:rPr>
      </w:pPr>
      <w:r>
        <w:rPr>
          <w:rFonts w:ascii="Times New Roman" w:hAnsi="Times New Roman"/>
          <w:i/>
          <w:color w:val="000000"/>
          <w:sz w:val="20"/>
        </w:rPr>
        <w:t xml:space="preserve">NGLs. </w:t>
      </w:r>
      <w:r>
        <w:rPr>
          <w:rFonts w:ascii="Times New Roman" w:hAnsi="Times New Roman"/>
          <w:color w:val="000000"/>
          <w:sz w:val="20"/>
        </w:rPr>
        <w:t>Natural gas liquids, which are naturally occurring substances found in natural gas, including ethane, butane, isobutane, propane and natural gasoline that can be collectively removed from produced natural gas, separated into these substances and sold.</w:t>
      </w:r>
    </w:p>
    <w:p>
      <w:pPr>
        <w:pStyle w:val="TextBody"/>
        <w:bidi w:val="0"/>
        <w:spacing w:before="0" w:after="180"/>
        <w:jc w:val="left"/>
        <w:rPr>
          <w:rFonts w:ascii="Times New Roman" w:hAnsi="Times New Roman"/>
          <w:sz w:val="20"/>
        </w:rPr>
      </w:pPr>
      <w:r>
        <w:rPr>
          <w:rFonts w:ascii="Times New Roman" w:hAnsi="Times New Roman"/>
          <w:i/>
          <w:color w:val="000000"/>
          <w:sz w:val="20"/>
        </w:rPr>
        <w:t xml:space="preserve">Net acres or Net wells. </w:t>
      </w:r>
      <w:r>
        <w:rPr>
          <w:rFonts w:ascii="Times New Roman" w:hAnsi="Times New Roman"/>
          <w:color w:val="000000"/>
          <w:sz w:val="20"/>
        </w:rPr>
        <w:t xml:space="preserve">The sum of the fractional working interests owned in gross acres or gross wells. </w:t>
      </w:r>
    </w:p>
    <w:p>
      <w:pPr>
        <w:pStyle w:val="TextBody"/>
        <w:bidi w:val="0"/>
        <w:spacing w:before="0" w:after="180"/>
        <w:jc w:val="left"/>
        <w:rPr>
          <w:rFonts w:ascii="Times New Roman" w:hAnsi="Times New Roman"/>
          <w:sz w:val="20"/>
        </w:rPr>
      </w:pPr>
      <w:r>
        <w:rPr>
          <w:rFonts w:ascii="Times New Roman" w:hAnsi="Times New Roman"/>
          <w:i/>
          <w:color w:val="000000"/>
          <w:sz w:val="20"/>
        </w:rPr>
        <w:t>NYMEX.</w:t>
      </w:r>
      <w:r>
        <w:rPr>
          <w:rFonts w:ascii="Times New Roman" w:hAnsi="Times New Roman"/>
          <w:color w:val="000000"/>
          <w:sz w:val="20"/>
        </w:rPr>
        <w:t xml:space="preserve"> New York Mercantile Exchange.</w:t>
      </w:r>
    </w:p>
    <w:p>
      <w:pPr>
        <w:pStyle w:val="TextBody"/>
        <w:bidi w:val="0"/>
        <w:spacing w:before="0" w:after="180"/>
        <w:jc w:val="left"/>
        <w:rPr>
          <w:rFonts w:ascii="Times New Roman" w:hAnsi="Times New Roman"/>
          <w:sz w:val="20"/>
        </w:rPr>
      </w:pPr>
      <w:r>
        <w:rPr>
          <w:rFonts w:ascii="Times New Roman" w:hAnsi="Times New Roman"/>
          <w:i/>
          <w:color w:val="000000"/>
          <w:sz w:val="20"/>
        </w:rPr>
        <w:t>Performance Share Unit (PSU)</w:t>
      </w:r>
      <w:r>
        <w:rPr>
          <w:rFonts w:ascii="Times New Roman" w:hAnsi="Times New Roman"/>
          <w:color w:val="000000"/>
          <w:sz w:val="20"/>
        </w:rPr>
        <w:t>. An equity-based compensation award that vests based upon the achievement of performance conditions.</w:t>
      </w:r>
    </w:p>
    <w:p>
      <w:pPr>
        <w:pStyle w:val="TextBody"/>
        <w:bidi w:val="0"/>
        <w:spacing w:before="0" w:after="180"/>
        <w:jc w:val="left"/>
        <w:rPr>
          <w:rFonts w:ascii="Times New Roman" w:hAnsi="Times New Roman"/>
          <w:sz w:val="20"/>
        </w:rPr>
      </w:pPr>
      <w:r>
        <w:rPr>
          <w:rFonts w:ascii="Times New Roman" w:hAnsi="Times New Roman"/>
          <w:i/>
          <w:color w:val="000000"/>
          <w:sz w:val="20"/>
        </w:rPr>
        <w:t xml:space="preserve">Present Value (PV). </w:t>
      </w:r>
      <w:r>
        <w:rPr>
          <w:rFonts w:ascii="Times New Roman" w:hAnsi="Times New Roman"/>
          <w:color w:val="000000"/>
          <w:sz w:val="20"/>
        </w:rPr>
        <w:t xml:space="preserve">The present value of future net cash flows, using a 10% discount rate, from estimated proved reserves, using constant prices and costs in effect on the date of the report (unless such prices or costs are subject to change pursuant to contractual provisions). The after-tax present value is the Standardized Measure.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sz w:val="20"/>
        </w:rPr>
      </w:pPr>
      <w:r>
        <w:rPr>
          <w:rFonts w:ascii="Times New Roman" w:hAnsi="Times New Roman"/>
          <w:i/>
          <w:color w:val="000000"/>
          <w:sz w:val="20"/>
        </w:rPr>
        <w:t xml:space="preserve">Productive well. </w:t>
      </w:r>
      <w:r>
        <w:rPr>
          <w:rFonts w:ascii="Times New Roman" w:hAnsi="Times New Roman"/>
          <w:color w:val="000000"/>
          <w:sz w:val="20"/>
        </w:rPr>
        <w:t xml:space="preserve">A well that is producing oil or gas or that is capable of production. </w:t>
      </w:r>
    </w:p>
    <w:p>
      <w:pPr>
        <w:pStyle w:val="TextBody"/>
        <w:bidi w:val="0"/>
        <w:spacing w:before="0" w:after="180"/>
        <w:jc w:val="left"/>
        <w:rPr>
          <w:rFonts w:ascii="Times New Roman" w:hAnsi="Times New Roman"/>
          <w:sz w:val="20"/>
        </w:rPr>
      </w:pPr>
      <w:r>
        <w:rPr>
          <w:rFonts w:ascii="Times New Roman" w:hAnsi="Times New Roman"/>
          <w:i/>
          <w:color w:val="000000"/>
          <w:sz w:val="20"/>
        </w:rPr>
        <w:t xml:space="preserve">Proved developed non-producing reserves. </w:t>
      </w:r>
      <w:r>
        <w:rPr>
          <w:rFonts w:ascii="Times New Roman" w:hAnsi="Times New Roman"/>
          <w:color w:val="000000"/>
          <w:sz w:val="20"/>
        </w:rPr>
        <w:t xml:space="preserve">Reserves that consist of (i) proved reserves from wells which have been completed and tested but are not producing due to lack of market or minor completion problems which are expected to be corrected and (ii) proved reserves currently behind the pipe in existing wells and which are expected to be productive due to both the well log characteristics and analogous production in the immediate vicinity of the wells. </w:t>
      </w:r>
    </w:p>
    <w:p>
      <w:pPr>
        <w:pStyle w:val="TextBody"/>
        <w:bidi w:val="0"/>
        <w:spacing w:before="0" w:after="120"/>
        <w:jc w:val="left"/>
        <w:rPr>
          <w:rFonts w:ascii="Times New Roman" w:hAnsi="Times New Roman"/>
          <w:sz w:val="20"/>
        </w:rPr>
      </w:pPr>
      <w:r>
        <w:rPr>
          <w:rFonts w:ascii="Times New Roman" w:hAnsi="Times New Roman"/>
          <w:i/>
          <w:color w:val="000000"/>
          <w:sz w:val="20"/>
        </w:rPr>
        <w:t xml:space="preserve">Proved developed reserves. </w:t>
      </w:r>
      <w:r>
        <w:rPr>
          <w:rFonts w:ascii="Times New Roman" w:hAnsi="Times New Roman"/>
          <w:color w:val="000000"/>
          <w:sz w:val="20"/>
        </w:rPr>
        <w:t xml:space="preserve">Proved reserves that can be expected to be recovered (i) through existing wells with existing equipment and operating methods or in which the cost of the required equipment is relatively minor compared to the cost of a new well and (ii) through installed extracting equipment and infrastructure operational at the time of the reserve estimate if the extraction is by means not involving a well. </w:t>
      </w:r>
    </w:p>
    <w:p>
      <w:pPr>
        <w:pStyle w:val="TextBody"/>
        <w:bidi w:val="0"/>
        <w:spacing w:before="0" w:after="120"/>
        <w:jc w:val="left"/>
        <w:rPr>
          <w:rFonts w:ascii="Times New Roman" w:hAnsi="Times New Roman"/>
          <w:sz w:val="20"/>
        </w:rPr>
      </w:pPr>
      <w:r>
        <w:rPr>
          <w:rFonts w:ascii="Times New Roman" w:hAnsi="Times New Roman"/>
          <w:i/>
          <w:color w:val="000000"/>
          <w:sz w:val="20"/>
        </w:rPr>
        <w:t xml:space="preserve">Proved reserves. </w:t>
      </w:r>
      <w:r>
        <w:rPr>
          <w:rFonts w:ascii="Times New Roman" w:hAnsi="Times New Roman"/>
          <w:color w:val="000000"/>
          <w:sz w:val="20"/>
        </w:rPr>
        <w:t>The quantities of crude oil, natural gas and NGLs, which by analysis of geological and engineering data, can estimate with reasonable certainty to be economically producible from a given date forward, from known reservoirs under existing economic conditions, operating methods and government regulations 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w:t>
      </w:r>
    </w:p>
    <w:p>
      <w:pPr>
        <w:pStyle w:val="TextBody"/>
        <w:bidi w:val="0"/>
        <w:spacing w:before="60" w:after="180"/>
        <w:jc w:val="left"/>
        <w:rPr>
          <w:rFonts w:ascii="Times New Roman" w:hAnsi="Times New Roman"/>
          <w:sz w:val="20"/>
        </w:rPr>
      </w:pPr>
      <w:r>
        <w:rPr>
          <w:rFonts w:ascii="Times New Roman" w:hAnsi="Times New Roman"/>
          <w:i/>
          <w:color w:val="000000"/>
          <w:sz w:val="20"/>
        </w:rPr>
        <w:t xml:space="preserve">Proved undeveloped reserves. </w:t>
      </w:r>
      <w:r>
        <w:rPr>
          <w:rFonts w:ascii="Times New Roman" w:hAnsi="Times New Roman"/>
          <w:color w:val="000000"/>
          <w:sz w:val="20"/>
        </w:rPr>
        <w:t xml:space="preserve">Proved reserves that are expected to be recovered from new wells on undrilled acreage, or from existing wells where a relatively major expenditure is required for recompletion. </w:t>
      </w:r>
    </w:p>
    <w:p>
      <w:pPr>
        <w:pStyle w:val="TextBody"/>
        <w:bidi w:val="0"/>
        <w:spacing w:before="0" w:after="180"/>
        <w:jc w:val="left"/>
        <w:rPr>
          <w:rFonts w:ascii="Times New Roman" w:hAnsi="Times New Roman"/>
          <w:sz w:val="20"/>
        </w:rPr>
      </w:pPr>
      <w:r>
        <w:rPr>
          <w:rFonts w:ascii="Times New Roman" w:hAnsi="Times New Roman"/>
          <w:i/>
          <w:color w:val="000000"/>
          <w:sz w:val="20"/>
        </w:rPr>
        <w:t xml:space="preserve">Recompletion. </w:t>
      </w:r>
      <w:r>
        <w:rPr>
          <w:rFonts w:ascii="Times New Roman" w:hAnsi="Times New Roman"/>
          <w:color w:val="000000"/>
          <w:sz w:val="20"/>
        </w:rPr>
        <w:t xml:space="preserve">The completion for production of an existing well bore in another formation from that in which the well has been previously completed. </w:t>
      </w:r>
    </w:p>
    <w:p>
      <w:pPr>
        <w:pStyle w:val="TextBody"/>
        <w:bidi w:val="0"/>
        <w:spacing w:before="0" w:after="180"/>
        <w:jc w:val="left"/>
        <w:rPr>
          <w:rFonts w:ascii="Times New Roman" w:hAnsi="Times New Roman"/>
          <w:sz w:val="20"/>
        </w:rPr>
      </w:pPr>
      <w:r>
        <w:rPr>
          <w:rFonts w:ascii="Times New Roman" w:hAnsi="Times New Roman"/>
          <w:i/>
          <w:color w:val="000000"/>
          <w:sz w:val="20"/>
        </w:rPr>
        <w:t xml:space="preserve">Reserve life index. </w:t>
      </w:r>
      <w:r>
        <w:rPr>
          <w:rFonts w:ascii="Times New Roman" w:hAnsi="Times New Roman"/>
          <w:color w:val="000000"/>
          <w:sz w:val="20"/>
        </w:rPr>
        <w:t xml:space="preserve">Proved reserves at a point in time divided by the then production rate (annually or quarterly). </w:t>
      </w:r>
    </w:p>
    <w:p>
      <w:pPr>
        <w:pStyle w:val="TextBody"/>
        <w:bidi w:val="0"/>
        <w:spacing w:before="0" w:after="180"/>
        <w:jc w:val="left"/>
        <w:rPr>
          <w:rFonts w:ascii="Times New Roman" w:hAnsi="Times New Roman"/>
          <w:sz w:val="20"/>
        </w:rPr>
      </w:pPr>
      <w:r>
        <w:rPr>
          <w:rFonts w:ascii="Times New Roman" w:hAnsi="Times New Roman"/>
          <w:i/>
          <w:color w:val="000000"/>
          <w:sz w:val="20"/>
        </w:rPr>
        <w:t>Reserves</w:t>
      </w:r>
      <w:r>
        <w:rPr>
          <w:rFonts w:ascii="Times New Roman" w:hAnsi="Times New Roman"/>
          <w:color w:val="000000"/>
          <w:sz w:val="20"/>
        </w:rPr>
        <w:t>. Estimated remaining quantities of oil and gas and related substances anticipated to be economically producible, as of a given date, by application of development projects to known accumulations. In addition, there must exist, or there must be a reasonable expectation that there will exist, the legal right to produce or a revenue interest in the production, installed means of delivering oil and gas or related substances to market, and all permits and financing required to implement the project.</w:t>
      </w:r>
    </w:p>
    <w:p>
      <w:pPr>
        <w:pStyle w:val="TextBody"/>
        <w:bidi w:val="0"/>
        <w:spacing w:before="0" w:after="180"/>
        <w:jc w:val="left"/>
        <w:rPr>
          <w:rFonts w:ascii="Times New Roman" w:hAnsi="Times New Roman"/>
          <w:sz w:val="20"/>
        </w:rPr>
      </w:pPr>
      <w:r>
        <w:rPr>
          <w:rFonts w:ascii="Times New Roman" w:hAnsi="Times New Roman"/>
          <w:i/>
          <w:color w:val="000000"/>
          <w:sz w:val="20"/>
        </w:rPr>
        <w:t xml:space="preserve">Royalty acreage. </w:t>
      </w:r>
      <w:r>
        <w:rPr>
          <w:rFonts w:ascii="Times New Roman" w:hAnsi="Times New Roman"/>
          <w:color w:val="000000"/>
          <w:sz w:val="20"/>
        </w:rPr>
        <w:t xml:space="preserve">Acreage represented by a fee mineral or royalty interest which entitles the owner to receive free and clear of all production costs a specified portion of the oil and gas produced or a specified portion of the value of such production. </w:t>
      </w:r>
    </w:p>
    <w:p>
      <w:pPr>
        <w:pStyle w:val="TextBody"/>
        <w:bidi w:val="0"/>
        <w:spacing w:before="0" w:after="180"/>
        <w:jc w:val="left"/>
        <w:rPr>
          <w:rFonts w:ascii="Times New Roman" w:hAnsi="Times New Roman"/>
          <w:sz w:val="20"/>
        </w:rPr>
      </w:pPr>
      <w:r>
        <w:rPr>
          <w:rFonts w:ascii="Times New Roman" w:hAnsi="Times New Roman"/>
          <w:i/>
          <w:color w:val="000000"/>
          <w:sz w:val="20"/>
        </w:rPr>
        <w:t xml:space="preserve">Royalty interest. </w:t>
      </w:r>
      <w:r>
        <w:rPr>
          <w:rFonts w:ascii="Times New Roman" w:hAnsi="Times New Roman"/>
          <w:color w:val="000000"/>
          <w:sz w:val="20"/>
        </w:rPr>
        <w:t xml:space="preserve">An interest in an oil and gas property entitling the owner to a share of oil and natural gas production free of costs of production. </w:t>
      </w:r>
    </w:p>
    <w:p>
      <w:pPr>
        <w:pStyle w:val="TextBody"/>
        <w:bidi w:val="0"/>
        <w:spacing w:before="0" w:after="180"/>
        <w:jc w:val="left"/>
        <w:rPr>
          <w:rFonts w:ascii="Times New Roman" w:hAnsi="Times New Roman"/>
          <w:sz w:val="20"/>
        </w:rPr>
      </w:pPr>
      <w:r>
        <w:rPr>
          <w:rFonts w:ascii="Times New Roman" w:hAnsi="Times New Roman"/>
          <w:i/>
          <w:color w:val="000000"/>
          <w:sz w:val="20"/>
        </w:rPr>
        <w:t xml:space="preserve">Standardized Measure. </w:t>
      </w:r>
      <w:r>
        <w:rPr>
          <w:rFonts w:ascii="Times New Roman" w:hAnsi="Times New Roman"/>
          <w:color w:val="000000"/>
          <w:sz w:val="20"/>
        </w:rPr>
        <w:t xml:space="preserve">The present value, discounted at 10%, of future net cash flows from estimated proved reserves after income taxes, calculated holding prices and costs constant at amounts in effect on the date of the report (unless such prices or costs are subject to change pursuant to contractual provisions) and otherwise in accordance with the SEC's rules for inclusion of oil and gas reserve information in financial statements filed with the SEC. </w:t>
      </w:r>
    </w:p>
    <w:p>
      <w:pPr>
        <w:pStyle w:val="TextBody"/>
        <w:bidi w:val="0"/>
        <w:spacing w:before="0" w:after="180"/>
        <w:jc w:val="left"/>
        <w:rPr>
          <w:rFonts w:ascii="Times New Roman" w:hAnsi="Times New Roman"/>
          <w:sz w:val="20"/>
        </w:rPr>
      </w:pPr>
      <w:r>
        <w:rPr>
          <w:rFonts w:ascii="Times New Roman" w:hAnsi="Times New Roman"/>
          <w:i/>
          <w:color w:val="000000"/>
          <w:sz w:val="20"/>
        </w:rPr>
        <w:t>Stratigraphic test well.</w:t>
      </w:r>
      <w:r>
        <w:rPr>
          <w:rFonts w:ascii="Times New Roman" w:hAnsi="Times New Roman"/>
          <w:color w:val="000000"/>
          <w:sz w:val="20"/>
        </w:rPr>
        <w:t xml:space="preserve"> A stratigraphic test well is a drilling effort, geologically directed, to obtain information pertaining to a specific geologic condition. Such wells customarily are drilled without the intent of being completed for hydrocarbon production. The classification also includes tests identified as core tests and all types of expendable holes related to hydrocarbon exploration. Stratigraphic tests are classified as “exploratory type” if not drilled in a known area or “development type” if drilled in a known area.</w:t>
      </w:r>
    </w:p>
    <w:p>
      <w:pPr>
        <w:pStyle w:val="TextBody"/>
        <w:bidi w:val="0"/>
        <w:spacing w:before="0" w:after="180"/>
        <w:jc w:val="left"/>
        <w:rPr>
          <w:rFonts w:ascii="Times New Roman" w:hAnsi="Times New Roman"/>
          <w:sz w:val="20"/>
        </w:rPr>
      </w:pPr>
      <w:r>
        <w:rPr>
          <w:rFonts w:ascii="Times New Roman" w:hAnsi="Times New Roman"/>
          <w:i/>
          <w:color w:val="000000"/>
          <w:sz w:val="20"/>
        </w:rPr>
        <w:t xml:space="preserve">tcfe. </w:t>
      </w:r>
      <w:r>
        <w:rPr>
          <w:rFonts w:ascii="Times New Roman" w:hAnsi="Times New Roman"/>
          <w:color w:val="000000"/>
          <w:sz w:val="20"/>
        </w:rPr>
        <w:t>One trillion cubic feet of natural gas equivalents, with one barrel of NGLs or oil being equivalent to 6,000 cubic feet of natural gas.</w:t>
      </w:r>
    </w:p>
    <w:p>
      <w:pPr>
        <w:pStyle w:val="TextBody"/>
        <w:bidi w:val="0"/>
        <w:spacing w:before="0" w:after="180"/>
        <w:jc w:val="left"/>
        <w:rPr>
          <w:rFonts w:ascii="Times New Roman" w:hAnsi="Times New Roman"/>
          <w:sz w:val="20"/>
        </w:rPr>
      </w:pPr>
      <w:r>
        <w:rPr>
          <w:rFonts w:ascii="Times New Roman" w:hAnsi="Times New Roman"/>
          <w:i/>
          <w:color w:val="000000"/>
          <w:sz w:val="20"/>
        </w:rPr>
        <w:t xml:space="preserve">Unconventional play. </w:t>
      </w:r>
      <w:r>
        <w:rPr>
          <w:rFonts w:ascii="Times New Roman" w:hAnsi="Times New Roman"/>
          <w:color w:val="000000"/>
          <w:sz w:val="20"/>
        </w:rPr>
        <w:t>A term used in the oil and gas industry to refer to a play in which the targeted reservoirs generally fall into one of three categories: (1) tight sands, (2) coal beds or (3) shales. The reservoirs tend to cover large areas and lack the readily apparent traps, seals and discrete hydrocarbon-water boundaries that typically define conventional reservoirs. These reservoirs generally require fracture stimulation or other special recovery processes in order to achieve economic flow rates.</w:t>
      </w:r>
    </w:p>
    <w:p>
      <w:pPr>
        <w:pStyle w:val="TextBody"/>
        <w:bidi w:val="0"/>
        <w:spacing w:before="0" w:after="180"/>
        <w:jc w:val="left"/>
        <w:rPr>
          <w:rFonts w:ascii="Times New Roman" w:hAnsi="Times New Roman"/>
          <w:sz w:val="20"/>
        </w:rPr>
      </w:pPr>
      <w:r>
        <w:rPr>
          <w:rFonts w:ascii="Times New Roman" w:hAnsi="Times New Roman"/>
          <w:i/>
          <w:color w:val="000000"/>
          <w:sz w:val="20"/>
        </w:rPr>
        <w:t>Undeveloped Oil and Gas Reserves</w:t>
      </w:r>
      <w:r>
        <w:rPr>
          <w:rFonts w:ascii="Times New Roman" w:hAnsi="Times New Roman"/>
          <w:color w:val="000000"/>
          <w:sz w:val="20"/>
        </w:rPr>
        <w:t>. Oil and natural gas reserves of any category that are expected to be recovered from new wells on undrilled acreage or from existing wells where a relatively major expenditure is required for recompletion.</w:t>
      </w:r>
    </w:p>
    <w:p>
      <w:pPr>
        <w:pStyle w:val="TextBody"/>
        <w:bidi w:val="0"/>
        <w:spacing w:before="0" w:after="180"/>
        <w:jc w:val="left"/>
        <w:rPr>
          <w:rFonts w:ascii="Times New Roman" w:hAnsi="Times New Roman"/>
          <w:sz w:val="20"/>
        </w:rPr>
      </w:pPr>
      <w:r>
        <w:rPr>
          <w:rFonts w:ascii="Times New Roman" w:hAnsi="Times New Roman"/>
          <w:i/>
          <w:color w:val="000000"/>
          <w:sz w:val="20"/>
        </w:rPr>
        <w:t xml:space="preserve">Unproved properties. </w:t>
      </w:r>
      <w:r>
        <w:rPr>
          <w:rFonts w:ascii="Times New Roman" w:hAnsi="Times New Roman"/>
          <w:color w:val="000000"/>
          <w:sz w:val="20"/>
        </w:rPr>
        <w:t>Properties with no proved reserves.</w:t>
      </w:r>
    </w:p>
    <w:p>
      <w:pPr>
        <w:pStyle w:val="TextBody"/>
        <w:bidi w:val="0"/>
        <w:spacing w:before="0" w:after="180"/>
        <w:jc w:val="left"/>
        <w:rPr>
          <w:rFonts w:ascii="Times New Roman" w:hAnsi="Times New Roman"/>
          <w:sz w:val="20"/>
        </w:rPr>
      </w:pPr>
      <w:r>
        <w:rPr>
          <w:rFonts w:ascii="Times New Roman" w:hAnsi="Times New Roman"/>
          <w:i/>
          <w:color w:val="000000"/>
          <w:sz w:val="20"/>
        </w:rPr>
        <w:t xml:space="preserve">Working interest. </w:t>
      </w:r>
      <w:r>
        <w:rPr>
          <w:rFonts w:ascii="Times New Roman" w:hAnsi="Times New Roman"/>
          <w:color w:val="000000"/>
          <w:sz w:val="20"/>
        </w:rPr>
        <w:t>The operating interest that gives the owner the right to drill, produce and conduct operating activities on the property and a share of production, subject to all royalties, overriding royalties and other burdens, and to all costs of exploration, development and operations, and all risks in connection therewith.</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360"/>
        <w:jc w:val="center"/>
        <w:rPr>
          <w:rFonts w:ascii="Times New Roman" w:hAnsi="Times New Roman"/>
          <w:sz w:val="20"/>
        </w:rPr>
      </w:pPr>
      <w:r>
        <w:rPr>
          <w:rFonts w:ascii="Times New Roman" w:hAnsi="Times New Roman"/>
          <w:b/>
          <w:color w:val="000000"/>
          <w:sz w:val="20"/>
        </w:rPr>
        <w:t>Disclosures Regarding Forward-Looking Statements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This Annual Report on Form 10-K contains forward-looking statements within the meaning of Section 27A of the Securities Act of 1933, as amended ("Securities Act") and Section 21E of the Securities Exchange Act of 1934, as amended ("Exchange Act"). These are statements, other than statements of historical fact, that give current expectations or forecasts of future events, including without limitation, operational and financial strategies: drilling plans; planned wells; rig count; our 2026 capital budget; reserve estimates; financial flexibility; expectations regarding future economic and market conditions and their effects on us; our financial and operational outlook and ability to fulfill that outlook; our financial position, balance sheet, liquidity and capital resources and the benefits thereof. These statements typically contain words such as "anticipates," "believes," "estimates," "expects," "intend," "may," "outlook," "plans," "projects," "targets," "should," "would" or similar words, indicating that future outcomes are uncertain. Such forward-looking statements are intended to be subject to the safe harbor protections provided by the federal securities law. While we believe our assumptions concerning future events are reasonable, these expectations may not prove to be correct. A number of factors could cause results to differ materially from those indicated by such forward looking statements including, but not limited to: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conditions in the oil and gas industry, including supply and demand levels for natural gas, natural gas liquids ("NGLs") and oil and the resulting impact on price;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availability and volatility of securities, capital or credit markets and the cost of capital to fund our operation and business strategy;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accuracy and fluctuations in our reserves estimates due to regulations, reservoir performance or sustained low commodity prices;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lack of, or disruption in, processing facilities and access to pipelines or other transportation methods;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ability to develop existing reserves or add new reserves;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drilling and operating risks;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well production timing;</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changes in the regulatory climate, either nationally or in our key operating market, that result in difficulty obtaining necessary approvals and permits;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changes in geopolitical or economic conditions, including changes in interest rates and inflation rates, both domestically and internationally and more specifically in our key operating market;</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prices and availability of goods and services, including drilling rigs, completions equipment, materials, labor and third-party infrastructure;</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unforeseen hazards such as weather conditions, health pandemics, acts of war or terrorist acts;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security threats, including cybersecurity threats and disruptions to our business and operations from breaches of our information technology systems or breaches of the information technology systems, facilities and infrastructure of third parties with which we transact business;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changes in safety, health, environmental, tax and other regulations or requirements or initiatives including those addressing the impact of global climate change, air emissions, waste or water management;</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availability, cost, terms and competition for mineral leases and surface use agreements;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other geological, operating and economic considerations;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risks related to our derivative activities;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non-performance by third parties of their contractual obligations; or</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other factors discussed in Items 1 and 2. Business and Properties, Item 1A. Risk Factors, Item 7. Management Discussion and Analysis of Financial Condition and Results of Operations, Item 7A. Quantitative and Qualitative Disclosures about Market Risk and elsewhere in this report.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All forward-looking statements included in this report are based on information available to us on the date of this report. Except as required by law, we undertake no obligation to publicly update or revise any forward-looking statements after the date they are made, whether as a result of new information, future events or otherwise. All subsequent written and oral forward-looking statements attributable to us or persons acting on our behalf are expressly qualified in their entirety by the cautionary statements contained throughout this report.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360"/>
        <w:jc w:val="center"/>
        <w:rPr>
          <w:rFonts w:ascii="Times New Roman" w:hAnsi="Times New Roman"/>
          <w:sz w:val="20"/>
        </w:rPr>
      </w:pPr>
      <w:r>
        <w:rPr>
          <w:rFonts w:ascii="Times New Roman" w:hAnsi="Times New Roman"/>
          <w:b/>
          <w:caps/>
          <w:color w:val="000000"/>
          <w:sz w:val="20"/>
        </w:rPr>
        <w:t>PART I</w:t>
      </w:r>
      <w:r>
        <w:rPr>
          <w:rFonts w:ascii="Times New Roman" w:hAnsi="Times New Roman"/>
          <w:caps/>
          <w:color w:val="000000"/>
          <w:sz w:val="20"/>
        </w:rPr>
        <w:t xml:space="preserve"> </w:t>
      </w:r>
    </w:p>
    <w:p>
      <w:pPr>
        <w:pStyle w:val="TextBody"/>
        <w:bidi w:val="0"/>
        <w:spacing w:before="0" w:after="180"/>
        <w:jc w:val="left"/>
        <w:rPr>
          <w:rFonts w:ascii="Times New Roman" w:hAnsi="Times New Roman"/>
          <w:sz w:val="20"/>
        </w:rPr>
      </w:pPr>
      <w:bookmarkStart w:id="4" w:name="items_1_2_business_properties"/>
      <w:bookmarkEnd w:id="4"/>
      <w:r>
        <w:rPr>
          <w:rFonts w:ascii="Times New Roman" w:hAnsi="Times New Roman"/>
          <w:b/>
          <w:color w:val="000000"/>
          <w:sz w:val="20"/>
        </w:rPr>
        <w:t>ITEMS 1 AND 2. BUSINESS AND PROPERTIES</w:t>
      </w:r>
      <w:r>
        <w:rPr>
          <w:rFonts w:ascii="Times New Roman" w:hAnsi="Times New Roman"/>
          <w:color w:val="000000"/>
          <w:sz w:val="20"/>
        </w:rPr>
        <w:t xml:space="preserve"> </w:t>
      </w:r>
    </w:p>
    <w:p>
      <w:pPr>
        <w:pStyle w:val="TextBody"/>
        <w:bidi w:val="0"/>
        <w:spacing w:before="0" w:after="180"/>
        <w:jc w:val="left"/>
        <w:rPr>
          <w:rFonts w:ascii="Times New Roman" w:hAnsi="Times New Roman"/>
          <w:sz w:val="20"/>
        </w:rPr>
      </w:pPr>
      <w:bookmarkStart w:id="5" w:name="general"/>
      <w:bookmarkEnd w:id="5"/>
      <w:r>
        <w:rPr>
          <w:rFonts w:ascii="Times New Roman" w:hAnsi="Times New Roman"/>
          <w:b/>
          <w:color w:val="000000"/>
          <w:sz w:val="20"/>
        </w:rPr>
        <w:t>General</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Range Resources Corporation ("Range"), a Delaware corporation, is a Fort Worth, Texas-based independent producer of natural gas, NGLs and oil (predominately condensate but referred to herein as "oil"), engaged in the exploration, development and acquisition of natural gas, NGLs and oil properties in the Appalachian region of the United States. Our principal area of operations is the Marcellus Shale in Pennsylvania. Our corporate offices are located at 100 Throckmorton Street, Suite 1200, Fort Worth, Texas 76102 (telephone (817) 870-2601). We also maintain field offices in our area of operations. Our common stock is listed and traded on the New York Stock Exchange (the "NYSE") under the ticker symbol "RRC." Range Resources Corporation was incorporated in 1980.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of December 31, 2025, we had 1,579 gross (1,499 net) operating producing wells that produced average daily production of 2.24 Bcfe per day for the year. As of December 31, 2025 we had estimated net proved reserves of 18.1 Tcfe of which 71% was proved developed and consisted of 65% gas, 34% NGLs and 1% oil.</w:t>
      </w:r>
    </w:p>
    <w:p>
      <w:pPr>
        <w:pStyle w:val="TextBody"/>
        <w:bidi w:val="0"/>
        <w:spacing w:before="0" w:after="180"/>
        <w:jc w:val="left"/>
        <w:rPr>
          <w:rFonts w:ascii="Times New Roman" w:hAnsi="Times New Roman"/>
          <w:sz w:val="20"/>
        </w:rPr>
      </w:pPr>
      <w:bookmarkStart w:id="6" w:name="available_information"/>
      <w:bookmarkEnd w:id="6"/>
      <w:r>
        <w:rPr>
          <w:rFonts w:ascii="Times New Roman" w:hAnsi="Times New Roman"/>
          <w:b/>
          <w:color w:val="000000"/>
          <w:sz w:val="20"/>
        </w:rPr>
        <w:t>Available Information</w:t>
      </w:r>
      <w:r>
        <w:rPr>
          <w:rFonts w:ascii="Times New Roman" w:hAnsi="Times New Roman"/>
          <w:color w:val="000000"/>
          <w:sz w:val="20"/>
        </w:rPr>
        <w:t xml:space="preserve"> </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Our corporate website is available at </w:t>
      </w:r>
      <w:r>
        <w:rPr>
          <w:rFonts w:ascii="Times New Roman" w:hAnsi="Times New Roman"/>
          <w:sz w:val="20"/>
        </w:rPr>
        <w:t>http://www.rangeresources.com</w:t>
      </w:r>
      <w:r>
        <w:rPr>
          <w:rFonts w:ascii="Times New Roman" w:hAnsi="Times New Roman"/>
          <w:color w:val="000000"/>
          <w:sz w:val="20"/>
        </w:rPr>
        <w:t xml:space="preserve">. Information contained on or connected to our website is not incorporated by reference into this Form 10-K and should not be considered part of this report or any other filing we make with the U.S. Securities and Exchange Commission (the "SEC"). We make available, free of charge on our website, the annual report on Form 10-K, our proxy statement, quarterly reports on Form 10-Q, current reports on Form 8-K and amendments to those reports, as soon as reasonably practicable after filing such reports with the SEC. Other information such as presentations, our corporate sustainability report, our Corporate Governance Guidelines, the charters of each board committee and the Code of Business Conduct and Ethics are available on our website and in print to any stockholder who provides a written request to the Corporate Secretary at 100 Throckmorton Street, Suite 1200, Fort Worth, Texas 76102. Our Code of Business Conduct and Ethics applies to all directors, officers and employees, including our President and Chief Executive Officer and Chief Financial Officer. </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The SEC maintains a website that contains reports, proxy and information statements and other information regarding issuers, including Range, that file electronically with the SEC. The public can obtain any document we file with the SEC at </w:t>
      </w:r>
      <w:r>
        <w:rPr>
          <w:rFonts w:ascii="Times New Roman" w:hAnsi="Times New Roman"/>
          <w:sz w:val="20"/>
        </w:rPr>
        <w:t>http://www.sec.gov</w:t>
      </w:r>
      <w:r>
        <w:rPr>
          <w:rFonts w:ascii="Times New Roman" w:hAnsi="Times New Roman"/>
          <w:color w:val="000000"/>
          <w:sz w:val="20"/>
        </w:rPr>
        <w:t xml:space="preserve">. </w:t>
      </w:r>
    </w:p>
    <w:p>
      <w:pPr>
        <w:pStyle w:val="TextBody"/>
        <w:bidi w:val="0"/>
        <w:jc w:val="left"/>
        <w:rPr>
          <w:rFonts w:ascii="Times New Roman" w:hAnsi="Times New Roman"/>
          <w:sz w:val="20"/>
        </w:rPr>
      </w:pPr>
      <w:bookmarkStart w:id="7" w:name="our_business_strategy"/>
      <w:bookmarkEnd w:id="7"/>
      <w:r>
        <w:rPr>
          <w:rFonts w:ascii="Times New Roman" w:hAnsi="Times New Roman"/>
          <w:b/>
          <w:color w:val="000000"/>
          <w:sz w:val="20"/>
        </w:rPr>
        <w:t>Our Business Strategy</w:t>
      </w:r>
      <w:r>
        <w:rPr>
          <w:rFonts w:ascii="Times New Roman" w:hAnsi="Times New Roman"/>
          <w:color w:val="000000"/>
          <w:sz w:val="20"/>
        </w:rPr>
        <w:t xml:space="preserve">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Our overarching business objective is to build stockholder value through returns-focused development of our natural gas, NGLs and oil properties. The strategy to achieve our business objectives is to generate consistent cash flows from reserves and production through internally generated drilling projects occasionally coupled with complementary acquisitions and dispositions. Our strategy requires us to make significant investments and financial commitments in technical staff, acreage, seismic data, drilling and completion technology and gathering and transportation arrangements to build drilling inventory and market our products. Our strategy has the following key elements that are anchored by our assets located in the Commonwealth of Pennsylvania which is anticipated to have remaining productive life in excess of 50 years:</w:t>
      </w:r>
    </w:p>
    <w:p>
      <w:pPr>
        <w:pStyle w:val="TextBody"/>
        <w:bidi w:val="0"/>
        <w:spacing w:before="0" w:after="180"/>
        <w:jc w:val="left"/>
        <w:rPr>
          <w:rFonts w:ascii="Times New Roman" w:hAnsi="Times New Roman"/>
          <w:sz w:val="20"/>
        </w:rPr>
      </w:pPr>
      <w:r>
        <w:rPr>
          <w:rFonts w:ascii="Times New Roman" w:hAnsi="Times New Roman"/>
          <w:b/>
          <w:i/>
          <w:color w:val="000000"/>
          <w:sz w:val="20"/>
        </w:rPr>
        <w:t>Commit to Environmental Protection, Worker and Community Safety.</w:t>
      </w:r>
      <w:r>
        <w:rPr>
          <w:rFonts w:ascii="Times New Roman" w:hAnsi="Times New Roman"/>
          <w:color w:val="000000"/>
          <w:sz w:val="20"/>
        </w:rPr>
        <w:t xml:space="preserve"> We strive to implement technologies and commercial practices to minimize potential adverse impacts from the development of our properties on the environment, worker health and safety and the safety of the communities where we operate. We analyze and review performance while striving for continual improvement by working with peer companies, regulators, non-governmental organizations, industries not related to the oil and natural gas industry and other engaged stakeholders. We expect every employee to maintain safe operations, minimize environmental impact and conduct their daily business with the highest ethical standards. Safety is at the foundation of everything we do at Range and it is essential to our success. We have published on our website our 2024 - 2025 Corporate Sustainability Report which includes more information related to our sustainability practices.</w:t>
      </w:r>
    </w:p>
    <w:p>
      <w:pPr>
        <w:pStyle w:val="TextBody"/>
        <w:bidi w:val="0"/>
        <w:spacing w:before="0" w:after="180"/>
        <w:jc w:val="left"/>
        <w:rPr>
          <w:rFonts w:ascii="Times New Roman" w:hAnsi="Times New Roman"/>
          <w:sz w:val="20"/>
        </w:rPr>
      </w:pPr>
      <w:r>
        <w:rPr>
          <w:rFonts w:ascii="Times New Roman" w:hAnsi="Times New Roman"/>
          <w:b/>
          <w:i/>
          <w:color w:val="000000"/>
          <w:sz w:val="20"/>
        </w:rPr>
        <w:t>Concentrate in Our Core Operating Area.</w:t>
      </w:r>
      <w:r>
        <w:rPr>
          <w:rFonts w:ascii="Times New Roman" w:hAnsi="Times New Roman"/>
          <w:color w:val="000000"/>
          <w:sz w:val="20"/>
        </w:rPr>
        <w:t xml:space="preserve"> We currently operate in the Commonwealth of Pennsylvania. Concentrating our drilling and producing activities allows us to develop the regional expertise needed to interpret specific geological and operating conditions and develop economies of scale. Our management team has extensive experience in executing a multi-rig development drilling program, planning long-term logistics, marketing production and prudently allocating capital. Operating in our core area also allows us to pursue our goal of consistent production at attractive returns. We intend to further develop our acreage and improve our operating and financial results through the use of technology and detailed analysis of our properties. We periodically evaluate and pursue acquisition opportunities (including opportunities to acquire particular natural gas, NGLs and oil properties or entities owning natural gas and oil assets) and at any given time we may be in various stages of evaluating such opportunities.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sz w:val="20"/>
        </w:rPr>
      </w:pPr>
      <w:r>
        <w:rPr>
          <w:rFonts w:ascii="Times New Roman" w:hAnsi="Times New Roman"/>
          <w:b/>
          <w:i/>
          <w:color w:val="000000"/>
          <w:sz w:val="20"/>
        </w:rPr>
        <w:t>Focus on Cost Efficiency</w:t>
      </w:r>
      <w:r>
        <w:rPr>
          <w:rFonts w:ascii="Times New Roman" w:hAnsi="Times New Roman"/>
          <w:b/>
          <w:color w:val="000000"/>
          <w:sz w:val="20"/>
        </w:rPr>
        <w:t xml:space="preserve">. </w:t>
      </w:r>
      <w:r>
        <w:rPr>
          <w:rFonts w:ascii="Times New Roman" w:hAnsi="Times New Roman"/>
          <w:color w:val="000000"/>
          <w:sz w:val="20"/>
        </w:rPr>
        <w:t xml:space="preserve">We concentrate in areas which we believe to have sizable hydrocarbon deposits in place that will allow economic production while controlling costs. Because there is little long-term competitive sales price advantage available to a commodity producer, the costs to find, develop, and produce a commodity are important to organizational sustainability and long-term stockholder value creation. We endeavor to control costs such that our cost to find, develop and produce natural gas, NGLs and oil is one of the lowest in the industry. We operate almost all of our total net production and believe that our extensive knowledge of the geologic and operating conditions in the areas where we operate provides us with the ability to achieve operational efficiencies. </w:t>
      </w:r>
    </w:p>
    <w:p>
      <w:pPr>
        <w:pStyle w:val="TextBody"/>
        <w:bidi w:val="0"/>
        <w:spacing w:before="0" w:after="180"/>
        <w:jc w:val="left"/>
        <w:rPr>
          <w:rFonts w:ascii="Times New Roman" w:hAnsi="Times New Roman"/>
          <w:sz w:val="20"/>
        </w:rPr>
      </w:pPr>
      <w:r>
        <w:rPr>
          <w:rFonts w:ascii="Times New Roman" w:hAnsi="Times New Roman"/>
          <w:b/>
          <w:i/>
          <w:color w:val="000000"/>
          <w:sz w:val="20"/>
        </w:rPr>
        <w:t>Maintain a High-Quality Multi-Year Drilling Inventory</w:t>
      </w:r>
      <w:r>
        <w:rPr>
          <w:rFonts w:ascii="Times New Roman" w:hAnsi="Times New Roman"/>
          <w:i/>
          <w:color w:val="000000"/>
          <w:sz w:val="20"/>
        </w:rPr>
        <w:t>.</w:t>
      </w:r>
      <w:r>
        <w:rPr>
          <w:rFonts w:ascii="Times New Roman" w:hAnsi="Times New Roman"/>
          <w:color w:val="000000"/>
          <w:sz w:val="20"/>
        </w:rPr>
        <w:t xml:space="preserve"> We focus on areas with multiple prospective and productive horizons and development opportunities. We use our technical expertise to build and maintain a multi-year drilling inventory. We believe that a large, high-quality multi-year inventory of drilling projects increases our ability to efficiently plan for economic production. Currently, we have an estimated 27 million lateral feet of drilling inventory remaining in the Marcellus Shale, both proved and unproved. </w:t>
      </w:r>
    </w:p>
    <w:p>
      <w:pPr>
        <w:pStyle w:val="TextBody"/>
        <w:bidi w:val="0"/>
        <w:spacing w:before="0" w:after="180"/>
        <w:jc w:val="left"/>
        <w:rPr>
          <w:rFonts w:ascii="Times New Roman" w:hAnsi="Times New Roman"/>
          <w:sz w:val="20"/>
        </w:rPr>
      </w:pPr>
      <w:r>
        <w:rPr>
          <w:rFonts w:ascii="Times New Roman" w:hAnsi="Times New Roman"/>
          <w:b/>
          <w:i/>
          <w:color w:val="000000"/>
          <w:sz w:val="20"/>
        </w:rPr>
        <w:t>Maintain a Long-Life Reserve Base with a Low Base Decline Rate.</w:t>
      </w:r>
      <w:r>
        <w:rPr>
          <w:rFonts w:ascii="Times New Roman" w:hAnsi="Times New Roman"/>
          <w:color w:val="000000"/>
          <w:sz w:val="20"/>
        </w:rPr>
        <w:t xml:space="preserve"> Long-life natural gas, NGLs and oil reserves provide a more stable platform than short-life reserves. Long-life reserves with relatively low decline rates reduce reinvestment risk as they lessen the amount of reinvestment capital deployed each year to replace production. Long-life natural gas, NGLs and oil reserves also assist us in minimizing costs as stable production makes it easier to build and maintain operating economies of scale and also offer upside from technology enhancements. </w:t>
      </w:r>
    </w:p>
    <w:p>
      <w:pPr>
        <w:pStyle w:val="TextBody"/>
        <w:bidi w:val="0"/>
        <w:spacing w:before="0" w:after="180"/>
        <w:jc w:val="left"/>
        <w:rPr>
          <w:rFonts w:ascii="Times New Roman" w:hAnsi="Times New Roman"/>
          <w:sz w:val="20"/>
        </w:rPr>
      </w:pPr>
      <w:r>
        <w:rPr>
          <w:rFonts w:ascii="Times New Roman" w:hAnsi="Times New Roman"/>
          <w:b/>
          <w:i/>
          <w:color w:val="000000"/>
          <w:sz w:val="20"/>
        </w:rPr>
        <w:t xml:space="preserve">Market Our Products to a Large Number of Customers in Diverse Markets Under a Variety of Commercial Terms. </w:t>
      </w:r>
      <w:r>
        <w:rPr>
          <w:rFonts w:ascii="Times New Roman" w:hAnsi="Times New Roman"/>
          <w:color w:val="000000"/>
          <w:sz w:val="20"/>
        </w:rPr>
        <w:t>We market our natural gas, NGLs and oil to a large number of customers in both domestic and international markets to maximize cash flow and diversify risk. We hold numerous firm transportation contracts on multiple pipelines to enable us to transport and sell natural gas and NGLs in the Midwest, Gulf Coast, Southeast, Northeast and international markets. We sell our products under a variety of price indices and price formulas that assist us in optimizing regional price differentials and reducing commodity price volatility.</w:t>
      </w:r>
    </w:p>
    <w:p>
      <w:pPr>
        <w:pStyle w:val="TextBody"/>
        <w:bidi w:val="0"/>
        <w:spacing w:before="0" w:after="180"/>
        <w:jc w:val="left"/>
        <w:rPr>
          <w:rFonts w:ascii="Times New Roman" w:hAnsi="Times New Roman"/>
          <w:sz w:val="20"/>
        </w:rPr>
      </w:pPr>
      <w:r>
        <w:rPr>
          <w:rFonts w:ascii="Times New Roman" w:hAnsi="Times New Roman"/>
          <w:b/>
          <w:i/>
          <w:color w:val="000000"/>
          <w:sz w:val="20"/>
        </w:rPr>
        <w:t>Maintain Operational and Financial Flexibility</w:t>
      </w:r>
      <w:r>
        <w:rPr>
          <w:rFonts w:ascii="Times New Roman" w:hAnsi="Times New Roman"/>
          <w:b/>
          <w:color w:val="000000"/>
          <w:sz w:val="20"/>
        </w:rPr>
        <w:t xml:space="preserve">. </w:t>
      </w:r>
      <w:r>
        <w:rPr>
          <w:rFonts w:ascii="Times New Roman" w:hAnsi="Times New Roman"/>
          <w:color w:val="000000"/>
          <w:sz w:val="20"/>
        </w:rPr>
        <w:t>Because of the risks involved in drilling, coupled with changing commodity prices, we are flexible and may adjust our capital budget or other projections throughout the year. We are the operator of almost all of our total net production. This operating control allows us to better execute our strategies of enhancing returns through operational and cost efficiencies and increasing recovery of hydrocarbons by seeking to continually improve our drilling techniques, completion methodologies and reservoir evaluation process. We believe our asset base, revenue diversity, low-cost structure and strong balance sheet provide us the flexibility we need to thrive across various commodity price environments. We also believe in maintaining ample liquidity, using commodity derivatives to help stabilize our realized prices, and focusing on financial discipline. We believe this provides more predictable cash flows and financial results.</w:t>
      </w:r>
    </w:p>
    <w:p>
      <w:pPr>
        <w:pStyle w:val="TextBody"/>
        <w:bidi w:val="0"/>
        <w:spacing w:before="0" w:after="180"/>
        <w:jc w:val="left"/>
        <w:rPr>
          <w:rFonts w:ascii="Times New Roman" w:hAnsi="Times New Roman"/>
          <w:sz w:val="20"/>
        </w:rPr>
      </w:pPr>
      <w:r>
        <w:rPr>
          <w:rFonts w:ascii="Times New Roman" w:hAnsi="Times New Roman"/>
          <w:b/>
          <w:i/>
          <w:color w:val="000000"/>
          <w:sz w:val="20"/>
        </w:rPr>
        <w:t>Provide Employee Equity Ownership and Incentive Compensation Aligned with Our Stakeholders’ Interests.</w:t>
      </w:r>
      <w:r>
        <w:rPr>
          <w:rFonts w:ascii="Times New Roman" w:hAnsi="Times New Roman"/>
          <w:color w:val="000000"/>
          <w:sz w:val="20"/>
        </w:rPr>
        <w:t xml:space="preserve"> We want our employees to think and act like business owners. To achieve this, we reward and encourage them through equity ownership in Range. All full-time employees are eligible to receive equity grants. As of December 31, 2025, our employees and directors owned equity securities in our benefit plans (vested and unvested) that had an aggregate market value of approximately $140.6 million. However, many employees and directors have Range stock ownership outside of our benefit plans, which would only further increase the total market value owned. We seek to align our incentive compensation with stakeholders’ interests and key business objectives. Members of our board of directors annually engage with stockholders to discuss our incentive compensation framework.</w:t>
      </w:r>
    </w:p>
    <w:p>
      <w:pPr>
        <w:pStyle w:val="TextBody"/>
        <w:bidi w:val="0"/>
        <w:spacing w:before="0" w:after="180"/>
        <w:jc w:val="left"/>
        <w:rPr>
          <w:rFonts w:ascii="Times New Roman" w:hAnsi="Times New Roman"/>
          <w:b/>
          <w:color w:val="000000"/>
          <w:sz w:val="20"/>
        </w:rPr>
      </w:pPr>
      <w:bookmarkStart w:id="8" w:name="outlook_2022"/>
      <w:bookmarkEnd w:id="8"/>
      <w:r>
        <w:rPr>
          <w:rFonts w:ascii="Times New Roman" w:hAnsi="Times New Roman"/>
          <w:b/>
          <w:color w:val="000000"/>
          <w:sz w:val="20"/>
        </w:rPr>
        <w:t>Outlook for 2026</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For 2026, in line with what we previously announced, we expect our capital budget to be in the range of $650 million to $700 million for natural gas, NGLs, and oil related activities, excluding any potential acquisitions, for which we do not budget. This budget includes $620 million to $640 million for drilling costs, $15 million to $35 million for acreage and $15 million to $25 million of investment in software, office facilities and other. This plan is expected to achieve modest growth of 2026 production relative to 2025 production volumes, while also supporting our longer-term operational plans. As has been our historical practice, we will periodically review our capital expenditures throughout the year and may adjust the budget based on commodity prices, drilling success and other factors. Throughout the year, we allocate capital on a project-by-project basis. Our expectation for 2026 is for our capital expenditure program to be funded with operating cash flows. However, in the event our 2026 capital investments exceed our internally generated cash flow, we may reduce the capital budget, draw on our bank credit facility and/or debt or equity financing may be used to fund these investments. The prices we receive for our natural gas, NGLs and oil production are largely based on current market prices, which are beyond our control. The price risk on a portion of our forecasted natural gas, NGLs and oil production for 2026 is partially mitigated using commodity derivative contracts and we intend to continue to enter into these transactions.</w:t>
      </w:r>
    </w:p>
    <w:p>
      <w:pPr>
        <w:pStyle w:val="TextBody"/>
        <w:bidi w:val="0"/>
        <w:spacing w:before="60" w:after="180"/>
        <w:jc w:val="left"/>
        <w:rPr>
          <w:rFonts w:ascii="Times New Roman" w:hAnsi="Times New Roman"/>
          <w:color w:val="000000"/>
          <w:sz w:val="20"/>
        </w:rPr>
      </w:pPr>
      <w:r>
        <w:rPr>
          <w:rFonts w:ascii="Times New Roman" w:hAnsi="Times New Roman"/>
          <w:color w:val="000000"/>
          <w:sz w:val="20"/>
        </w:rPr>
        <w:t>Our primary near-term focus includes the following:</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operate safely;</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be good stewards of the environment;</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achieve competitive returns on investments;</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develop our world-class assets through disciplined capital investments;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improve operational efficiencies and economic returns;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return capital to stockholders while maintaining a strong balance sheet;</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continue to reduce absolute emissions and maintain net-zero Scope 1 and Scope 2 GHG emissions;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attract and retain quality employees;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align employee incentives with our stockholders’ interests and key business objectives.</w:t>
      </w:r>
    </w:p>
    <w:p>
      <w:pPr>
        <w:pStyle w:val="TextBody"/>
        <w:bidi w:val="0"/>
        <w:spacing w:before="60" w:after="180"/>
        <w:jc w:val="left"/>
        <w:rPr>
          <w:rFonts w:ascii="Times New Roman" w:hAnsi="Times New Roman"/>
          <w:b/>
          <w:color w:val="000000"/>
          <w:sz w:val="20"/>
        </w:rPr>
      </w:pPr>
      <w:bookmarkStart w:id="9" w:name="property_overview"/>
      <w:bookmarkEnd w:id="9"/>
      <w:r>
        <w:rPr>
          <w:rFonts w:ascii="Times New Roman" w:hAnsi="Times New Roman"/>
          <w:b/>
          <w:color w:val="000000"/>
          <w:sz w:val="20"/>
        </w:rPr>
        <w:t>Property Overview and Geographical Information</w:t>
      </w:r>
    </w:p>
    <w:p>
      <w:pPr>
        <w:pStyle w:val="TextBody"/>
        <w:bidi w:val="0"/>
        <w:jc w:val="left"/>
        <w:rPr>
          <w:rFonts w:ascii="Times New Roman" w:hAnsi="Times New Roman"/>
          <w:color w:val="000000"/>
          <w:sz w:val="20"/>
        </w:rPr>
      </w:pPr>
      <w:r>
        <w:rPr>
          <w:rFonts w:ascii="Times New Roman" w:hAnsi="Times New Roman"/>
          <w:color w:val="000000"/>
          <w:sz w:val="20"/>
        </w:rPr>
        <w:t>Our natural gas, NGLs and oil operations are concentrated in the Appalachian region of the United States, and more specifically, in the Marcellus Shale in Pennsylvania. Our properties consist of interests in developed and undeveloped natural gas, NGLs and oil leases. These interests entitle us to drill for and produce natural gas, NGLs and oil from specific areas. Our interests are mostly in the form of working interests and, to a lesser extent, royalty and overriding royalty interests.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hold a large portfolio of drilling opportunities beyond the five-year horizon of proved reserves and therefore a significant unbooked resource potential within the Marcellus, Utica/Point Pleasant and Upper Devonian formations. We own 1,577 gross (1,499 net) producing gas wells in Pennsylvania, almost all of which we operate. Our average working interest in this region is 95%. We do not have any dual completions. As of December 31, 2025, we have approximately 879,000 gross (769,000 net) acres under lease in the Marcellus. During 2025, we averaged approximately two horizontal drilling rigs in the field and expect to have less drilling activity throughout 2026, while completions activity is expected to increase. Substantially all of our reserves and production are located in the Marcellus Shale.</w:t>
      </w:r>
    </w:p>
    <w:p>
      <w:pPr>
        <w:pStyle w:val="TextBody"/>
        <w:bidi w:val="0"/>
        <w:spacing w:before="180" w:after="180"/>
        <w:jc w:val="left"/>
        <w:rPr>
          <w:rFonts w:ascii="Times New Roman" w:hAnsi="Times New Roman"/>
          <w:b/>
          <w:color w:val="000000"/>
          <w:sz w:val="20"/>
        </w:rPr>
      </w:pPr>
      <w:bookmarkStart w:id="10" w:name="proved_reserves"/>
      <w:bookmarkEnd w:id="10"/>
      <w:r>
        <w:rPr>
          <w:rFonts w:ascii="Times New Roman" w:hAnsi="Times New Roman"/>
          <w:b/>
          <w:color w:val="000000"/>
          <w:sz w:val="20"/>
        </w:rPr>
        <w:t>Proved Reserves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following table sets forth our estimated proved reserves for year ended 2025 based on the average of prices on the first day of each month of the given calendar year, in accordance with SEC rules. We have no natural gas, NGLs or oil reserves from non-traditional sources. During the year ended December 31, 2025, we did not file any reports with any federal authority or agency with respect to our estimate of natural gas, NGLs and oil reserves. Additionally, we do not provide optional disclosures of probable or possible reserves. </w:t>
      </w:r>
    </w:p>
    <w:p>
      <w:pPr>
        <w:pStyle w:val="TextBody"/>
        <w:bidi w:val="0"/>
        <w:jc w:val="left"/>
        <w:rPr/>
      </w:pPr>
      <w:r>
        <w:rPr/>
        <w:t> </w:t>
      </w:r>
    </w:p>
    <w:tbl>
      <w:tblPr>
        <w:tblW w:w="9126" w:type="dxa"/>
        <w:jc w:val="left"/>
        <w:tblInd w:w="0" w:type="dxa"/>
        <w:tblLayout w:type="fixed"/>
        <w:tblCellMar>
          <w:top w:w="28" w:type="dxa"/>
          <w:left w:w="28" w:type="dxa"/>
          <w:bottom w:w="28" w:type="dxa"/>
          <w:right w:w="28" w:type="dxa"/>
        </w:tblCellMar>
      </w:tblPr>
      <w:tblGrid>
        <w:gridCol w:w="2266"/>
        <w:gridCol w:w="146"/>
        <w:gridCol w:w="146"/>
        <w:gridCol w:w="1036"/>
        <w:gridCol w:w="146"/>
        <w:gridCol w:w="146"/>
        <w:gridCol w:w="146"/>
        <w:gridCol w:w="931"/>
        <w:gridCol w:w="146"/>
        <w:gridCol w:w="146"/>
        <w:gridCol w:w="146"/>
        <w:gridCol w:w="676"/>
        <w:gridCol w:w="146"/>
        <w:gridCol w:w="146"/>
        <w:gridCol w:w="146"/>
        <w:gridCol w:w="1036"/>
        <w:gridCol w:w="146"/>
        <w:gridCol w:w="146"/>
        <w:gridCol w:w="146"/>
        <w:gridCol w:w="421"/>
        <w:gridCol w:w="716"/>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8"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Summary of Oil and Gas Reserves as of Year-End Based on Average Prices</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Reserve Category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Natural Gas</w:t>
              <w:br/>
              <w:t>(Mmcf)</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NGLs</w:t>
              <w:br/>
              <w:t>(Mbbls)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Oil</w:t>
              <w:br/>
              <w:t>(Mbbls)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Total</w:t>
              <w:br/>
              <w:t xml:space="preserve">(Mmcfe) </w:t>
            </w:r>
            <w:r>
              <w:rPr>
                <w:rFonts w:ascii="Times New Roman" w:hAnsi="Times New Roman"/>
                <w:b/>
                <w:color w:val="000000"/>
                <w:sz w:val="12"/>
              </w:rPr>
              <w: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Developed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8,381,647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715,291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12,801,132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Undeveloped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3,334,265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322,872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5,340,730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Proved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11,715,912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1,038,163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18,141,862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3"/>
        <w:gridCol w:w="9952"/>
      </w:tblGrid>
      <w:tr>
        <w:trPr/>
        <w:tc>
          <w:tcPr>
            <w:tcW w:w="253" w:type="dxa"/>
            <w:tcBorders/>
            <w:vAlign w:val="center"/>
          </w:tcPr>
          <w:p>
            <w:pPr>
              <w:pStyle w:val="TableContents"/>
              <w:bidi w:val="0"/>
              <w:spacing w:before="0" w:after="283"/>
              <w:jc w:val="left"/>
              <w:rPr>
                <w:sz w:val="4"/>
                <w:szCs w:val="4"/>
              </w:rPr>
            </w:pPr>
            <w:r>
              <w:rPr>
                <w:sz w:val="4"/>
                <w:szCs w:val="4"/>
              </w:rPr>
            </w:r>
          </w:p>
        </w:tc>
        <w:tc>
          <w:tcPr>
            <w:tcW w:w="9952" w:type="dxa"/>
            <w:tcBorders/>
            <w:vAlign w:val="center"/>
          </w:tcPr>
          <w:p>
            <w:pPr>
              <w:pStyle w:val="TableContents"/>
              <w:bidi w:val="0"/>
              <w:spacing w:before="0" w:after="283"/>
              <w:jc w:val="left"/>
              <w:rPr>
                <w:sz w:val="4"/>
                <w:szCs w:val="4"/>
              </w:rPr>
            </w:pPr>
            <w:r>
              <w:rPr>
                <w:sz w:val="4"/>
                <w:szCs w:val="4"/>
              </w:rPr>
            </w:r>
          </w:p>
        </w:tc>
      </w:tr>
      <w:tr>
        <w:trPr/>
        <w:tc>
          <w:tcPr>
            <w:tcW w:w="253"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2"/>
              </w:rPr>
            </w:pPr>
            <w:r>
              <w:rPr>
                <w:rFonts w:ascii="Times New Roman" w:hAnsi="Times New Roman"/>
                <w:color w:val="000000"/>
                <w:sz w:val="12"/>
              </w:rPr>
              <w:t>(a)</w:t>
            </w:r>
          </w:p>
        </w:tc>
        <w:tc>
          <w:tcPr>
            <w:tcW w:w="9952"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 xml:space="preserve">Oil and NGLs volumes are converted to mcfe at the rate of one barrel equals six mcfs based upon the relative energy content of oil to natural gas, which is not indicative of the relationship between oil and natural gas prices. </w:t>
            </w:r>
          </w:p>
        </w:tc>
      </w:tr>
    </w:tbl>
    <w:p>
      <w:pPr>
        <w:pStyle w:val="TextBody"/>
        <w:bidi w:val="0"/>
        <w:jc w:val="left"/>
        <w:rPr/>
      </w:pPr>
      <w:r>
        <w:rPr/>
        <w:t> </w:t>
      </w:r>
    </w:p>
    <w:p>
      <w:pPr>
        <w:pStyle w:val="TextBody"/>
        <w:bidi w:val="0"/>
        <w:spacing w:before="360" w:after="283"/>
        <w:jc w:val="left"/>
        <w:rPr/>
      </w:pPr>
      <w:r>
        <w:rPr>
          <w:rFonts w:ascii="Times New Roman" w:hAnsi="Times New Roman"/>
          <w:color w:val="000000"/>
          <w:sz w:val="20"/>
        </w:rPr>
        <w:t xml:space="preserve">For additional information regarding estimates of our proved reserves, the qualifications of the preparers of our reserve estimates, the evaluation of such estimates by our independent petroleum engineering consultants, our processes and controls with respect to our reserves estimates and other information about our reserves, including the risks inherent in our estimates of proved reserves, refer to the Supplemental Information on Natural Gas, NGLs and Oil Exploration, Development and Production Activities included in </w:t>
      </w:r>
      <w:hyperlink w:anchor="note_16">
        <w:r>
          <w:rPr>
            <w:rStyle w:val="InternetLink"/>
            <w:rFonts w:ascii="Times New Roman" w:hAnsi="Times New Roman"/>
            <w:color w:val="0000FF"/>
            <w:sz w:val="20"/>
            <w:u w:val="single"/>
          </w:rPr>
          <w:t>Note 16</w:t>
        </w:r>
      </w:hyperlink>
      <w:r>
        <w:rPr>
          <w:rFonts w:ascii="Times New Roman" w:hAnsi="Times New Roman"/>
          <w:color w:val="000000"/>
          <w:sz w:val="20"/>
        </w:rPr>
        <w:t xml:space="preserve"> of our consolidated financial statements for more information.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sz w:val="20"/>
        </w:rPr>
      </w:pPr>
      <w:r>
        <w:rPr>
          <w:rFonts w:ascii="Times New Roman" w:hAnsi="Times New Roman"/>
          <w:b/>
          <w:i/>
          <w:color w:val="000000"/>
          <w:sz w:val="20"/>
        </w:rPr>
        <w:t>Proved Reserves (PV-10)</w:t>
      </w:r>
      <w:r>
        <w:rPr>
          <w:rFonts w:ascii="Times New Roman" w:hAnsi="Times New Roman"/>
          <w:color w:val="000000"/>
          <w:sz w:val="20"/>
        </w:rPr>
        <w:t xml:space="preserve"> </w:t>
      </w:r>
    </w:p>
    <w:p>
      <w:pPr>
        <w:pStyle w:val="TextBody"/>
        <w:bidi w:val="0"/>
        <w:spacing w:before="180" w:after="120"/>
        <w:jc w:val="left"/>
        <w:rPr>
          <w:rFonts w:ascii="Times New Roman" w:hAnsi="Times New Roman"/>
          <w:sz w:val="20"/>
        </w:rPr>
      </w:pPr>
      <w:r>
        <w:rPr>
          <w:rFonts w:ascii="Times New Roman" w:hAnsi="Times New Roman"/>
          <w:color w:val="000000"/>
          <w:sz w:val="20"/>
        </w:rPr>
        <w:t>The following table sets forth the estimated future net cash flows, excluding open derivative contracts, from proved reserves, the present value of those net cash flows discounted at a rate of 10% PV-10</w:t>
      </w:r>
      <w:r>
        <w:rPr>
          <w:rFonts w:ascii="Times New Roman" w:hAnsi="Times New Roman"/>
          <w:color w:val="000000"/>
          <w:sz w:val="13"/>
        </w:rPr>
        <w:t>(a)</w:t>
      </w:r>
      <w:r>
        <w:rPr>
          <w:rFonts w:ascii="Times New Roman" w:hAnsi="Times New Roman"/>
          <w:color w:val="000000"/>
          <w:sz w:val="20"/>
        </w:rPr>
        <w:t xml:space="preserve">, and the expected benchmark prices and average field prices used in projecting net cash flows over the past three years. The benchmark prices used are based on the average of prices on the first day of each month of the given calendar year, in accordance with SEC rules. Our reserve estimates do not include any probable or possible reserves (in millions, except prices): </w:t>
      </w:r>
    </w:p>
    <w:tbl>
      <w:tblPr>
        <w:tblW w:w="7418" w:type="dxa"/>
        <w:jc w:val="left"/>
        <w:tblInd w:w="0" w:type="dxa"/>
        <w:tblLayout w:type="fixed"/>
        <w:tblCellMar>
          <w:top w:w="28" w:type="dxa"/>
          <w:left w:w="28" w:type="dxa"/>
          <w:bottom w:w="28" w:type="dxa"/>
          <w:right w:w="28" w:type="dxa"/>
        </w:tblCellMar>
      </w:tblPr>
      <w:tblGrid>
        <w:gridCol w:w="3636"/>
        <w:gridCol w:w="146"/>
        <w:gridCol w:w="211"/>
        <w:gridCol w:w="676"/>
        <w:gridCol w:w="146"/>
        <w:gridCol w:w="146"/>
        <w:gridCol w:w="211"/>
        <w:gridCol w:w="676"/>
        <w:gridCol w:w="146"/>
        <w:gridCol w:w="146"/>
        <w:gridCol w:w="211"/>
        <w:gridCol w:w="676"/>
        <w:gridCol w:w="391"/>
      </w:tblGrid>
      <w:tr>
        <w:trPr/>
        <w:tc>
          <w:tcPr>
            <w:tcW w:w="3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Future net cash flows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21,748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Before income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After income tax (Standardized Measure)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Benchmark prices (NYMEX):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Gas price (per mcf)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Oil price (per bbl)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Wellhead prices: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Gas price (per mcf)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Oil price (per bbl)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NGLs price (per bbl)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1"/>
        <w:gridCol w:w="9974"/>
      </w:tblGrid>
      <w:tr>
        <w:trPr/>
        <w:tc>
          <w:tcPr>
            <w:tcW w:w="231" w:type="dxa"/>
            <w:tcBorders/>
            <w:vAlign w:val="center"/>
          </w:tcPr>
          <w:p>
            <w:pPr>
              <w:pStyle w:val="TableContents"/>
              <w:bidi w:val="0"/>
              <w:spacing w:before="0" w:after="283"/>
              <w:jc w:val="left"/>
              <w:rPr>
                <w:sz w:val="4"/>
                <w:szCs w:val="4"/>
              </w:rPr>
            </w:pPr>
            <w:r>
              <w:rPr>
                <w:sz w:val="4"/>
                <w:szCs w:val="4"/>
              </w:rPr>
            </w:r>
          </w:p>
        </w:tc>
        <w:tc>
          <w:tcPr>
            <w:tcW w:w="9974" w:type="dxa"/>
            <w:tcBorders/>
            <w:vAlign w:val="center"/>
          </w:tcPr>
          <w:p>
            <w:pPr>
              <w:pStyle w:val="TableContents"/>
              <w:bidi w:val="0"/>
              <w:spacing w:before="0" w:after="283"/>
              <w:jc w:val="left"/>
              <w:rPr>
                <w:sz w:val="4"/>
                <w:szCs w:val="4"/>
              </w:rPr>
            </w:pPr>
            <w:r>
              <w:rPr>
                <w:sz w:val="4"/>
                <w:szCs w:val="4"/>
              </w:rPr>
            </w:r>
          </w:p>
        </w:tc>
      </w:tr>
      <w:tr>
        <w:trPr/>
        <w:tc>
          <w:tcPr>
            <w:tcW w:w="23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2"/>
              </w:rPr>
            </w:pPr>
            <w:r>
              <w:rPr>
                <w:rFonts w:ascii="Times New Roman" w:hAnsi="Times New Roman"/>
                <w:color w:val="000000"/>
                <w:sz w:val="12"/>
              </w:rPr>
              <w:t>(a)</w:t>
            </w:r>
          </w:p>
        </w:tc>
        <w:tc>
          <w:tcPr>
            <w:tcW w:w="9974"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PV-10 is considered a non-GAAP financial measure as defined by the U.S. Securities and Exchange Commission (the "SEC"). We believe that the presentation of PV-10 is relevant and useful to our investors as supplemental disclosure to the standardized measure, or after-tax amount, because it presents the discounted future net cash flows attributable to our proved reserves before taking into account future corporate income taxes and our current tax structure. While the standardized measure is dependent on the unique tax situation of each company, PV-10 is based on prices and discount factors that are consistent for all companies. Because of this, PV-10 can be used within the industry and by creditors and security analysts to evaluate estimated net cash flows from proved reserves on a more comparable basis. The difference between the standardized measure and the PV-10 amount is the discounted estimated future income tax of $1.9 billion at December 31, 2025. Oil and NGLs volumes are converted at the rate of one barrel equals six mcf based on approximate relative energy content.</w:t>
            </w:r>
          </w:p>
        </w:tc>
      </w:tr>
    </w:tbl>
    <w:p>
      <w:pPr>
        <w:pStyle w:val="TextBody"/>
        <w:bidi w:val="0"/>
        <w:spacing w:before="360" w:after="180"/>
        <w:jc w:val="left"/>
        <w:rPr>
          <w:rFonts w:ascii="Times New Roman" w:hAnsi="Times New Roman"/>
          <w:color w:val="000000"/>
          <w:sz w:val="20"/>
        </w:rPr>
      </w:pPr>
      <w:r>
        <w:rPr>
          <w:rFonts w:ascii="Times New Roman" w:hAnsi="Times New Roman"/>
          <w:color w:val="000000"/>
          <w:sz w:val="20"/>
        </w:rPr>
        <w:t>Future net cash flows represent projected revenues from the sale of proved reserves, net of production and development costs (including transportation and gathering expenses, operating expenses and production taxes). Revenues are based on a twelve-month unweighted average of the first day of the month pricing, without escalation. Future cash flows are reduced by estimated production costs, administrative costs, costs to develop and produce the proved reserves and abandonment costs, all based on current economic conditions at each year-end. There can be no assurance that the proved reserves will be produced in the future or that prices, production or development costs will remain constant. There are numerous uncertainties inherent in estimating reserves and related information and different reservoir engineers often arrive at different estimates for the same properties.</w:t>
      </w:r>
    </w:p>
    <w:p>
      <w:pPr>
        <w:pStyle w:val="TextBody"/>
        <w:bidi w:val="0"/>
        <w:spacing w:before="0" w:after="180"/>
        <w:jc w:val="left"/>
        <w:rPr>
          <w:rFonts w:ascii="Times New Roman" w:hAnsi="Times New Roman"/>
          <w:b/>
          <w:color w:val="000000"/>
          <w:sz w:val="20"/>
        </w:rPr>
      </w:pPr>
      <w:bookmarkStart w:id="11" w:name="production_sales"/>
      <w:bookmarkEnd w:id="11"/>
      <w:r>
        <w:rPr>
          <w:rFonts w:ascii="Times New Roman" w:hAnsi="Times New Roman"/>
          <w:b/>
          <w:color w:val="000000"/>
          <w:sz w:val="20"/>
        </w:rPr>
        <w:t>Production, Sales Price and Production Costs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presents historical information about our total production volumes for natural gas, NGLs and oil; average sales prices and average production costs:</w:t>
      </w:r>
    </w:p>
    <w:p>
      <w:pPr>
        <w:pStyle w:val="TextBody"/>
        <w:bidi w:val="0"/>
        <w:jc w:val="left"/>
        <w:rPr/>
      </w:pPr>
      <w:r>
        <w:rPr/>
        <w:t> </w:t>
      </w:r>
    </w:p>
    <w:tbl>
      <w:tblPr>
        <w:tblW w:w="8643" w:type="dxa"/>
        <w:jc w:val="left"/>
        <w:tblInd w:w="0" w:type="dxa"/>
        <w:tblLayout w:type="fixed"/>
        <w:tblCellMar>
          <w:top w:w="28" w:type="dxa"/>
          <w:left w:w="28" w:type="dxa"/>
          <w:bottom w:w="28" w:type="dxa"/>
          <w:right w:w="28" w:type="dxa"/>
        </w:tblCellMar>
      </w:tblPr>
      <w:tblGrid>
        <w:gridCol w:w="3366"/>
        <w:gridCol w:w="146"/>
        <w:gridCol w:w="211"/>
        <w:gridCol w:w="1141"/>
        <w:gridCol w:w="146"/>
        <w:gridCol w:w="146"/>
        <w:gridCol w:w="211"/>
        <w:gridCol w:w="1141"/>
        <w:gridCol w:w="146"/>
        <w:gridCol w:w="146"/>
        <w:gridCol w:w="211"/>
        <w:gridCol w:w="1141"/>
        <w:gridCol w:w="491"/>
      </w:tblGrid>
      <w:tr>
        <w:trPr/>
        <w:tc>
          <w:tcPr>
            <w:tcW w:w="3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Production Volumes: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3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Natural gas (mcf)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560,891,967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545,415,974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538,084,671</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NGLs (bbls)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40,551,764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39,622,576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37,939,700</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Oil (bbls)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1,975,937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2,180,528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2,475,306</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36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20"/>
              </w:rPr>
              <w:t>Total mcfe </w:t>
            </w:r>
            <w:r>
              <w:rPr>
                <w:rFonts w:ascii="Times New Roman" w:hAnsi="Times New Roman"/>
                <w:color w:val="000000"/>
                <w:sz w:val="13"/>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816,058,173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796,234,598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780,574,707</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Sales Prices: </w:t>
            </w:r>
            <w:r>
              <w:rPr>
                <w:rFonts w:ascii="Times New Roman" w:hAnsi="Times New Roman"/>
                <w:color w:val="000000"/>
                <w:sz w:val="13"/>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Natural gas (per mcf)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NGLs (per bbl)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24.61</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Oil (per bbl)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67.29</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3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20"/>
              </w:rPr>
              <w:t>Total (per mcfe) </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operating (per mcfe)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Taxes other than income (per mcfe) </w:t>
            </w:r>
            <w:r>
              <w:rPr>
                <w:rFonts w:ascii="Times New Roman" w:hAnsi="Times New Roman"/>
                <w:color w:val="000000"/>
                <w:sz w:val="13"/>
              </w:rPr>
              <w:t>(c)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077" w:type="dxa"/>
        <w:jc w:val="left"/>
        <w:tblInd w:w="0" w:type="dxa"/>
        <w:tblLayout w:type="fixed"/>
        <w:tblCellMar>
          <w:top w:w="28" w:type="dxa"/>
          <w:left w:w="28" w:type="dxa"/>
          <w:bottom w:w="28" w:type="dxa"/>
          <w:right w:w="28" w:type="dxa"/>
        </w:tblCellMar>
      </w:tblPr>
      <w:tblGrid>
        <w:gridCol w:w="271"/>
        <w:gridCol w:w="8806"/>
      </w:tblGrid>
      <w:tr>
        <w:trPr/>
        <w:tc>
          <w:tcPr>
            <w:tcW w:w="271" w:type="dxa"/>
            <w:tcBorders/>
            <w:vAlign w:val="center"/>
          </w:tcPr>
          <w:p>
            <w:pPr>
              <w:pStyle w:val="TableContents"/>
              <w:bidi w:val="0"/>
              <w:spacing w:before="0" w:after="283"/>
              <w:jc w:val="left"/>
              <w:rPr>
                <w:sz w:val="4"/>
                <w:szCs w:val="4"/>
              </w:rPr>
            </w:pPr>
            <w:r>
              <w:rPr>
                <w:sz w:val="4"/>
                <w:szCs w:val="4"/>
              </w:rPr>
            </w:r>
          </w:p>
        </w:tc>
        <w:tc>
          <w:tcPr>
            <w:tcW w:w="8806" w:type="dxa"/>
            <w:tcBorders/>
            <w:vAlign w:val="center"/>
          </w:tcPr>
          <w:p>
            <w:pPr>
              <w:pStyle w:val="TableContents"/>
              <w:bidi w:val="0"/>
              <w:spacing w:before="0" w:after="283"/>
              <w:jc w:val="left"/>
              <w:rPr>
                <w:sz w:val="4"/>
                <w:szCs w:val="4"/>
              </w:rPr>
            </w:pPr>
            <w:r>
              <w:rPr>
                <w:sz w:val="4"/>
                <w:szCs w:val="4"/>
              </w:rPr>
            </w:r>
          </w:p>
        </w:tc>
      </w:tr>
      <w:tr>
        <w:trPr/>
        <w:tc>
          <w:tcPr>
            <w:tcW w:w="27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2"/>
              </w:rPr>
            </w:pPr>
            <w:r>
              <w:rPr>
                <w:rFonts w:ascii="Times New Roman" w:hAnsi="Times New Roman"/>
                <w:color w:val="000000"/>
                <w:sz w:val="12"/>
              </w:rPr>
              <w:t>(a)</w:t>
            </w:r>
          </w:p>
        </w:tc>
        <w:tc>
          <w:tcPr>
            <w:tcW w:w="880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Oil and NGLs volumes are converted at the rate of one barrel equals six mcf based on approximate relative energy content.</w:t>
            </w:r>
          </w:p>
        </w:tc>
      </w:tr>
      <w:tr>
        <w:trPr/>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w:t>
            </w:r>
          </w:p>
        </w:tc>
        <w:tc>
          <w:tcPr>
            <w:tcW w:w="88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Does not include derivative settlements or deductions for third-party transportation, gathering or processing costs.</w:t>
            </w:r>
          </w:p>
        </w:tc>
      </w:tr>
      <w:tr>
        <w:trPr/>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w:t>
            </w:r>
          </w:p>
        </w:tc>
        <w:tc>
          <w:tcPr>
            <w:tcW w:w="88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Includes Pennsylvania impact fee.</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80"/>
        <w:jc w:val="left"/>
        <w:rPr>
          <w:rFonts w:ascii="Times New Roman" w:hAnsi="Times New Roman"/>
          <w:sz w:val="20"/>
        </w:rPr>
      </w:pPr>
      <w:bookmarkStart w:id="12" w:name="drilling_activity"/>
      <w:bookmarkEnd w:id="12"/>
      <w:r>
        <w:rPr>
          <w:rFonts w:ascii="Times New Roman" w:hAnsi="Times New Roman"/>
          <w:b/>
          <w:color w:val="000000"/>
          <w:sz w:val="20"/>
        </w:rPr>
        <w:t>Drilling Activity</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summarizes drilling activity for the past three years. Gross wells reflect the sum of all wells in which we own an interest. Net wells reflect the sum of our working interests in gross wells. This information should not be indicative of future performance nor should it be assumed that there was any correlation between the number of productive wells and the natural gas, NGLs and oil reserves generated thereby. As of December 31, 2025, we had 29 gross (28 net) wells in the process of drilling or active completions stage. In addition, there were 53 gross (52 net) wells waiting on completion or waiting on pipelines at year-end 2025. </w:t>
      </w:r>
    </w:p>
    <w:p>
      <w:pPr>
        <w:pStyle w:val="TextBody"/>
        <w:bidi w:val="0"/>
        <w:jc w:val="left"/>
        <w:rPr/>
      </w:pPr>
      <w:r>
        <w:rPr/>
        <w:t> </w:t>
      </w:r>
    </w:p>
    <w:tbl>
      <w:tblPr>
        <w:tblW w:w="8175" w:type="dxa"/>
        <w:jc w:val="left"/>
        <w:tblInd w:w="0" w:type="dxa"/>
        <w:tblLayout w:type="fixed"/>
        <w:tblCellMar>
          <w:top w:w="28" w:type="dxa"/>
          <w:left w:w="28" w:type="dxa"/>
          <w:bottom w:w="28" w:type="dxa"/>
          <w:right w:w="28" w:type="dxa"/>
        </w:tblCellMar>
      </w:tblPr>
      <w:tblGrid>
        <w:gridCol w:w="1681"/>
        <w:gridCol w:w="146"/>
        <w:gridCol w:w="146"/>
        <w:gridCol w:w="466"/>
        <w:gridCol w:w="271"/>
        <w:gridCol w:w="146"/>
        <w:gridCol w:w="146"/>
        <w:gridCol w:w="466"/>
        <w:gridCol w:w="271"/>
        <w:gridCol w:w="146"/>
        <w:gridCol w:w="146"/>
        <w:gridCol w:w="466"/>
        <w:gridCol w:w="271"/>
        <w:gridCol w:w="146"/>
        <w:gridCol w:w="146"/>
        <w:gridCol w:w="466"/>
        <w:gridCol w:w="271"/>
        <w:gridCol w:w="146"/>
        <w:gridCol w:w="146"/>
        <w:gridCol w:w="466"/>
        <w:gridCol w:w="271"/>
        <w:gridCol w:w="146"/>
        <w:gridCol w:w="146"/>
        <w:gridCol w:w="466"/>
        <w:gridCol w:w="5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Development wells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Exploratory wells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wells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Success ratio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180"/>
        <w:jc w:val="left"/>
        <w:rPr/>
      </w:pPr>
      <w:r>
        <w:rPr/>
        <w:t> </w:t>
      </w:r>
    </w:p>
    <w:p>
      <w:pPr>
        <w:pStyle w:val="TextBody"/>
        <w:bidi w:val="0"/>
        <w:spacing w:before="180" w:after="180"/>
        <w:jc w:val="left"/>
        <w:rPr>
          <w:rFonts w:ascii="Times New Roman" w:hAnsi="Times New Roman"/>
          <w:sz w:val="20"/>
        </w:rPr>
      </w:pPr>
      <w:bookmarkStart w:id="13" w:name="gross_net_acreage"/>
      <w:bookmarkEnd w:id="13"/>
      <w:r>
        <w:rPr>
          <w:rFonts w:ascii="Times New Roman" w:hAnsi="Times New Roman"/>
          <w:b/>
          <w:color w:val="000000"/>
          <w:sz w:val="20"/>
        </w:rPr>
        <w:t>Gross and Net Acreage</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own interests in developed and undeveloped acreage. These ownership interests generally take the form of working interests in natural gas, NGLs and oil leases that have varying terms. Developed acreage generally includes leased acreage that is allocated or assignable to producing wells or wells capable of production even though shallower or deeper horizons may not have been fully explored. Undeveloped acreage includes leased acres on which wells have not been drilled or completed to a point that would permit the production of commercial quantities of natural gas, NGLs or oil, regardless of whether or not the acreage contains proved reserves. The following table sets forth certain information regarding the developed and undeveloped acreage in which we own a working interest as of December 31, 2025. Acreage related to option acreage, royalty, overriding royalty and other similar interests is excluded from this summary:</w:t>
      </w:r>
    </w:p>
    <w:p>
      <w:pPr>
        <w:pStyle w:val="TextBody"/>
        <w:bidi w:val="0"/>
        <w:jc w:val="left"/>
        <w:rPr/>
      </w:pPr>
      <w:r>
        <w:rPr/>
        <w:t> </w:t>
      </w:r>
    </w:p>
    <w:tbl>
      <w:tblPr>
        <w:tblW w:w="9790" w:type="dxa"/>
        <w:jc w:val="left"/>
        <w:tblInd w:w="0" w:type="dxa"/>
        <w:tblLayout w:type="fixed"/>
        <w:tblCellMar>
          <w:top w:w="28" w:type="dxa"/>
          <w:left w:w="28" w:type="dxa"/>
          <w:bottom w:w="28" w:type="dxa"/>
          <w:right w:w="28" w:type="dxa"/>
        </w:tblCellMar>
      </w:tblPr>
      <w:tblGrid>
        <w:gridCol w:w="2161"/>
        <w:gridCol w:w="146"/>
        <w:gridCol w:w="146"/>
        <w:gridCol w:w="781"/>
        <w:gridCol w:w="146"/>
        <w:gridCol w:w="146"/>
        <w:gridCol w:w="146"/>
        <w:gridCol w:w="781"/>
        <w:gridCol w:w="271"/>
        <w:gridCol w:w="146"/>
        <w:gridCol w:w="146"/>
        <w:gridCol w:w="781"/>
        <w:gridCol w:w="146"/>
        <w:gridCol w:w="146"/>
        <w:gridCol w:w="146"/>
        <w:gridCol w:w="676"/>
        <w:gridCol w:w="271"/>
        <w:gridCol w:w="146"/>
        <w:gridCol w:w="146"/>
        <w:gridCol w:w="781"/>
        <w:gridCol w:w="146"/>
        <w:gridCol w:w="146"/>
        <w:gridCol w:w="146"/>
        <w:gridCol w:w="781"/>
        <w:gridCol w:w="316"/>
      </w:tblGrid>
      <w:tr>
        <w:trPr/>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Developed Acres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Undeveloped Acres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Acres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New York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Oklahoma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Pennsylvania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775,315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673,274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90,088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870,835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763,362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Texas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West Virginia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5,197</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796,601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686,139</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96,637</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906,885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782,776</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working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80"/>
        <w:jc w:val="left"/>
        <w:rPr/>
      </w:pPr>
      <w:r>
        <w:rPr/>
        <w:t> </w:t>
      </w:r>
    </w:p>
    <w:p>
      <w:pPr>
        <w:pStyle w:val="TextBody"/>
        <w:bidi w:val="0"/>
        <w:spacing w:before="0" w:after="180"/>
        <w:jc w:val="left"/>
        <w:rPr>
          <w:rFonts w:ascii="Times New Roman" w:hAnsi="Times New Roman"/>
          <w:sz w:val="20"/>
        </w:rPr>
      </w:pPr>
      <w:bookmarkStart w:id="14" w:name="undeveloped_acreage_expirations"/>
      <w:bookmarkEnd w:id="14"/>
      <w:r>
        <w:rPr>
          <w:rFonts w:ascii="Times New Roman" w:hAnsi="Times New Roman"/>
          <w:b/>
          <w:color w:val="000000"/>
          <w:sz w:val="20"/>
        </w:rPr>
        <w:t>Undeveloped Acreage Expirations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The table below summarizes by year our undeveloped acreage scheduled to expire in the next five years.</w:t>
      </w:r>
    </w:p>
    <w:p>
      <w:pPr>
        <w:pStyle w:val="TextBody"/>
        <w:bidi w:val="0"/>
        <w:jc w:val="left"/>
        <w:rPr/>
      </w:pPr>
      <w:r>
        <w:rPr/>
        <w:t> </w:t>
      </w:r>
    </w:p>
    <w:tbl>
      <w:tblPr>
        <w:tblW w:w="5407" w:type="dxa"/>
        <w:jc w:val="left"/>
        <w:tblInd w:w="0" w:type="dxa"/>
        <w:tblLayout w:type="fixed"/>
        <w:tblCellMar>
          <w:top w:w="28" w:type="dxa"/>
          <w:left w:w="28" w:type="dxa"/>
          <w:bottom w:w="28" w:type="dxa"/>
          <w:right w:w="28" w:type="dxa"/>
        </w:tblCellMar>
      </w:tblPr>
      <w:tblGrid>
        <w:gridCol w:w="1606"/>
        <w:gridCol w:w="146"/>
        <w:gridCol w:w="146"/>
        <w:gridCol w:w="676"/>
        <w:gridCol w:w="146"/>
        <w:gridCol w:w="146"/>
        <w:gridCol w:w="146"/>
        <w:gridCol w:w="676"/>
        <w:gridCol w:w="146"/>
        <w:gridCol w:w="146"/>
        <w:gridCol w:w="350"/>
        <w:gridCol w:w="761"/>
        <w:gridCol w:w="316"/>
      </w:tblGrid>
      <w:tr>
        <w:trPr/>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of Total</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Undeveloped</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20"/>
        <w:jc w:val="left"/>
        <w:rPr>
          <w:rFonts w:ascii="Times New Roman" w:hAnsi="Times New Roman"/>
          <w:color w:val="000000"/>
          <w:sz w:val="20"/>
        </w:rPr>
      </w:pPr>
      <w:r>
        <w:rPr>
          <w:rFonts w:ascii="Times New Roman" w:hAnsi="Times New Roman"/>
          <w:color w:val="000000"/>
          <w:sz w:val="20"/>
        </w:rPr>
        <w:t>In all cases, the drilling of a commercial well will hold acreage beyond the lease expiration date. We have leased acreage that is subject to lease expiration if initial wells are not drilled within a specified period, generally between three and five years. We do have certain acreage that expires after five years. However, we have in the past been able, and expect in the future to be able, to extend the lease terms of some of these leases and sell or exchange some of these leases with other companies. The expirations included in the table above do not take into account the fact that we may be able to extend the lease terms. We do not expect to lose significant lease acreage because of failure to drill due to inadequate capital, equipment or personnel. However, based on our evaluation of prospective economics or when we do not intend to drill a property prior to lease expiration, we have allowed acreage to expire and we expect to allow additional acreage to expire in the future. We also believe acres needed in the future for our development plans can be leased again. We currently have no proved undeveloped reserve locations scheduled to be drilled after lease expiration.</w:t>
      </w:r>
    </w:p>
    <w:p>
      <w:pPr>
        <w:pStyle w:val="TextBody"/>
        <w:bidi w:val="0"/>
        <w:spacing w:before="60" w:after="180"/>
        <w:jc w:val="left"/>
        <w:rPr>
          <w:rFonts w:ascii="Times New Roman" w:hAnsi="Times New Roman"/>
          <w:sz w:val="20"/>
        </w:rPr>
      </w:pPr>
      <w:bookmarkStart w:id="15" w:name="title_to_properties"/>
      <w:bookmarkEnd w:id="15"/>
      <w:r>
        <w:rPr>
          <w:rFonts w:ascii="Times New Roman" w:hAnsi="Times New Roman"/>
          <w:b/>
          <w:color w:val="000000"/>
          <w:sz w:val="20"/>
        </w:rPr>
        <w:t>Title to Properties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We believe that we have satisfactory title to all of our producing properties in accordance with generally accepted industry standards. As is customary in the industry, in the case of undeveloped properties, often minimal investigation of record title is made at the time of lease acquisition. Investigations are made before the consummation of an acquisition of producing properties and before commencement of drilling operations on undeveloped properties. Individual properties may be subject to burdens that we believe do not materially interfere with the use, or affect the value, of the properties. Burdens on properties may include: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customary royalty or overriding royalty interests;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liens incident to operating agreements and for current taxes;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obligations or duties under applicable laws;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development obligations under oil and gas leases; or</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net profit interests. </w:t>
      </w:r>
    </w:p>
    <w:p>
      <w:pPr>
        <w:pStyle w:val="TextBody"/>
        <w:bidi w:val="0"/>
        <w:spacing w:before="60" w:after="180"/>
        <w:jc w:val="left"/>
        <w:rPr>
          <w:rFonts w:ascii="Times New Roman" w:hAnsi="Times New Roman"/>
          <w:sz w:val="20"/>
        </w:rPr>
      </w:pPr>
      <w:bookmarkStart w:id="16" w:name="competition"/>
      <w:bookmarkEnd w:id="16"/>
      <w:r>
        <w:rPr>
          <w:rFonts w:ascii="Times New Roman" w:hAnsi="Times New Roman"/>
          <w:b/>
          <w:color w:val="000000"/>
          <w:sz w:val="20"/>
        </w:rPr>
        <w:t>Competition</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Competition exists in all sectors of the oil and gas industry, and we encounter substantial competition in developing and acquiring natural gas, NGLs and oil properties, securing and retaining personnel, conducting drilling and field operations and marketing production. Competitors in exploration, development, acquisitions and production include the major oil and gas companies as well as numerous independent oil and gas companies, individual proprietors and others. Although our sizable acreage position and core area concentration provide some competitive advantages, many competitors have financial and other resources substantially exceeding ours. Therefore, competitors may be able to pay more for desirable leases and evaluate, bid for and purchase a greater number of properties or prospects than our financial or personnel resources allow. We face competition for pipeline and other services to transport our product to markets, particularly in the Northeastern portion of the United States. We also face competition from companies that supply alternative sources of energy, such as wind, solar power, nuclear and other sources. Competition may increase as alternative energy technologies become more reliable and if governments throughout the world support or mandate the use of such alternative energy.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Competitive advantage is gained in the oil and gas exploration and development industry by having high-quality inventory and by employing well-trained and experienced personnel who make prudent capital investment decisions based on management direction, embrace technological innovation, focus on price and cost management, and safely develop and operate our properties. We have a team of dedicated employees who represent the professional disciplines and sciences that we believe are necessary to allow us to maximize the long-term profitability and net asset value inherent in our physical assets. For more information, see Item 1A. Risk Factors.</w:t>
      </w:r>
    </w:p>
    <w:p>
      <w:pPr>
        <w:pStyle w:val="TextBody"/>
        <w:bidi w:val="0"/>
        <w:jc w:val="left"/>
        <w:rPr>
          <w:rFonts w:ascii="Times New Roman" w:hAnsi="Times New Roman"/>
          <w:sz w:val="20"/>
        </w:rPr>
      </w:pPr>
      <w:bookmarkStart w:id="17" w:name="marketing_and_customers"/>
      <w:bookmarkEnd w:id="17"/>
      <w:r>
        <w:rPr>
          <w:rFonts w:ascii="Times New Roman" w:hAnsi="Times New Roman"/>
          <w:b/>
          <w:color w:val="000000"/>
          <w:sz w:val="20"/>
        </w:rPr>
        <w:t>Marketing and Customers</w:t>
      </w:r>
      <w:r>
        <w:rPr>
          <w:rFonts w:ascii="Times New Roman" w:hAnsi="Times New Roman"/>
          <w:color w:val="000000"/>
          <w:sz w:val="20"/>
        </w:rPr>
        <w:t xml:space="preserve"> </w:t>
      </w:r>
    </w:p>
    <w:p>
      <w:pPr>
        <w:pStyle w:val="TextBody"/>
        <w:bidi w:val="0"/>
        <w:spacing w:before="180" w:after="180"/>
        <w:jc w:val="left"/>
        <w:rPr/>
      </w:pPr>
      <w:r>
        <w:rPr>
          <w:rFonts w:ascii="Times New Roman" w:hAnsi="Times New Roman"/>
          <w:color w:val="000000"/>
          <w:sz w:val="20"/>
        </w:rPr>
        <w:t xml:space="preserve">We market the majority of our natural gas, NGLs, and oil production from the properties we operate for our working interest, and that of the other working interest owners. We pay our royalty owners from the sales attributable to our working interest. Natural gas, NGLs and oil purchasers are selected on the basis of price, credit quality and service reliability. For information on purchasers of our natural gas, NGLs and oil production that accounted for 10% or more of consolidated revenue, see </w:t>
      </w:r>
      <w:hyperlink w:anchor="note_2">
        <w:r>
          <w:rPr>
            <w:rStyle w:val="InternetLink"/>
            <w:rFonts w:ascii="Times New Roman" w:hAnsi="Times New Roman"/>
            <w:color w:val="0000FF"/>
            <w:sz w:val="20"/>
            <w:u w:val="single"/>
          </w:rPr>
          <w:t>Note 2</w:t>
        </w:r>
      </w:hyperlink>
      <w:r>
        <w:rPr>
          <w:rFonts w:ascii="Times New Roman" w:hAnsi="Times New Roman"/>
          <w:color w:val="000000"/>
          <w:sz w:val="20"/>
        </w:rPr>
        <w:t xml:space="preserve"> to our consolidated financial statements. Because alternative purchasers of natural gas, NGLs and oil are usually readily available, we believe that the loss of any of these purchasers would not have a material adverse effect on our operations. Production from our properties is marketed using methods that are consistent with industry practice. Natural gas is a commodity for which we typically receive market-based pricing for our produced natural gas. Sales prices for natural gas, NGLs and oil production are negotiated based on factors normally considered in the industry, such as index or spot price, distance from the well to the pipeline, processing and other costs, commodity quality and prevailing supply and demand conditions.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80"/>
        <w:jc w:val="left"/>
        <w:rPr>
          <w:rFonts w:ascii="Times New Roman" w:hAnsi="Times New Roman"/>
          <w:color w:val="000000"/>
          <w:sz w:val="20"/>
        </w:rPr>
      </w:pPr>
      <w:r>
        <w:rPr>
          <w:rFonts w:ascii="Times New Roman" w:hAnsi="Times New Roman"/>
          <w:color w:val="000000"/>
          <w:sz w:val="20"/>
        </w:rPr>
        <w:t xml:space="preserve">We contract with a third-party to process our natural gas and extract from the produced natural gas heavier hydrocarbon streams (consisting predominately of ethane, propane, isobutane, normal butane and natural gasoline). Our natural gas production is sold to utilities, marketing and midstream companies and industrial users. Our NGLs production is typically sold to petrochemical end users, refiners, marketers/traders (both domestically and internationally) and natural gas processors. Our oil production is sold to crude oil processors, transporters and refining and marketing companies. </w:t>
      </w:r>
    </w:p>
    <w:p>
      <w:pPr>
        <w:pStyle w:val="TextBody"/>
        <w:bidi w:val="0"/>
        <w:spacing w:before="0" w:after="180"/>
        <w:jc w:val="left"/>
        <w:rPr/>
      </w:pPr>
      <w:r>
        <w:rPr>
          <w:rFonts w:ascii="Times New Roman" w:hAnsi="Times New Roman"/>
          <w:color w:val="000000"/>
          <w:sz w:val="20"/>
        </w:rPr>
        <w:t xml:space="preserve">We enter into derivative transactions with unaffiliated third parties for a varying portion of our production to achieve more predictable cash flows and to reduce our exposure to short-term fluctuations in natural gas, NGLs and oil prices. For a more detailed discussion, see </w:t>
      </w:r>
      <w:hyperlink w:anchor="item_7_mda">
        <w:r>
          <w:rPr>
            <w:rStyle w:val="InternetLink"/>
            <w:rFonts w:ascii="Times New Roman" w:hAnsi="Times New Roman"/>
            <w:color w:val="0000FF"/>
            <w:sz w:val="20"/>
            <w:u w:val="single"/>
          </w:rPr>
          <w:t>Item 7</w:t>
        </w:r>
      </w:hyperlink>
      <w:r>
        <w:rPr>
          <w:rFonts w:ascii="Times New Roman" w:hAnsi="Times New Roman"/>
          <w:color w:val="000000"/>
          <w:sz w:val="20"/>
        </w:rPr>
        <w:t xml:space="preserve">. Management’s Discussion and Analysis of Financial Condition and Results of Operations and </w:t>
      </w:r>
      <w:hyperlink w:anchor="quantitative_and_qualitative">
        <w:r>
          <w:rPr>
            <w:rStyle w:val="InternetLink"/>
            <w:rFonts w:ascii="Times New Roman" w:hAnsi="Times New Roman"/>
            <w:color w:val="0000FF"/>
            <w:sz w:val="20"/>
            <w:u w:val="single"/>
          </w:rPr>
          <w:t>Item 7A</w:t>
        </w:r>
      </w:hyperlink>
      <w:r>
        <w:rPr>
          <w:rFonts w:ascii="Times New Roman" w:hAnsi="Times New Roman"/>
          <w:color w:val="000000"/>
          <w:sz w:val="20"/>
        </w:rPr>
        <w:t>. Quantitative and Qualitative Disclosures about Market Risk.</w:t>
      </w:r>
    </w:p>
    <w:p>
      <w:pPr>
        <w:pStyle w:val="TextBody"/>
        <w:bidi w:val="0"/>
        <w:jc w:val="left"/>
        <w:rPr>
          <w:rFonts w:ascii="Times New Roman" w:hAnsi="Times New Roman"/>
          <w:color w:val="000000"/>
          <w:sz w:val="20"/>
        </w:rPr>
      </w:pPr>
      <w:r>
        <w:rPr>
          <w:rFonts w:ascii="Times New Roman" w:hAnsi="Times New Roman"/>
          <w:color w:val="000000"/>
          <w:sz w:val="20"/>
        </w:rPr>
        <w:t xml:space="preserve">We incur gathering and transportation expense to move our production from the wellhead, tanks and processing plants to purchaser-specified delivery points. These expenses vary and are primarily based on volume, distance shipped and the fee charged by the third-party gatherers and transporters. We also have processing contracts based on percent of proceeds. Transportation capacity on these gathering and transportation systems and pipelines is occasionally constrained. Our Appalachian production is transported on third-party pipelines on which we hold a certain amount of long-term contractual capacity. We have entered into several ethane agreements to sell or transport ethane from our Marcellus Shale area. We attempt to balance sales, storage and transportation positions, which can include purchases of commodities from third parties for resale, to utilize contracted transportation capacity. </w:t>
      </w:r>
    </w:p>
    <w:p>
      <w:pPr>
        <w:pStyle w:val="TextBody"/>
        <w:bidi w:val="0"/>
        <w:spacing w:before="180" w:after="180"/>
        <w:jc w:val="left"/>
        <w:rPr>
          <w:rFonts w:ascii="Times New Roman" w:hAnsi="Times New Roman"/>
          <w:sz w:val="20"/>
        </w:rPr>
      </w:pPr>
      <w:r>
        <w:rPr>
          <w:rFonts w:ascii="Times New Roman" w:hAnsi="Times New Roman"/>
          <w:color w:val="000000"/>
          <w:sz w:val="20"/>
        </w:rPr>
        <w:t xml:space="preserve">We have not experienced significant difficulty to date in finding a market for all of our production as it becomes available or in transporting our production to those markets; however, there is no assurance that we will always be able to transport and market all of our production or obtain favorable prices. For more information, see Item 1A. Risk Factors – </w:t>
      </w:r>
      <w:r>
        <w:rPr>
          <w:rFonts w:ascii="Times New Roman" w:hAnsi="Times New Roman"/>
          <w:i/>
          <w:color w:val="000000"/>
          <w:sz w:val="20"/>
        </w:rPr>
        <w:t>Our business depends on natural gas and oil transportation and on NGLs processing facilities, which are owned by others and depends on our ability to contract with those parties.</w:t>
      </w:r>
    </w:p>
    <w:p>
      <w:pPr>
        <w:pStyle w:val="TextBody"/>
        <w:bidi w:val="0"/>
        <w:spacing w:before="0" w:after="180"/>
        <w:jc w:val="left"/>
        <w:rPr>
          <w:rFonts w:ascii="Times New Roman" w:hAnsi="Times New Roman"/>
          <w:sz w:val="20"/>
        </w:rPr>
      </w:pPr>
      <w:bookmarkStart w:id="18" w:name="seasonal_nature_of_business"/>
      <w:bookmarkEnd w:id="18"/>
      <w:r>
        <w:rPr>
          <w:rFonts w:ascii="Times New Roman" w:hAnsi="Times New Roman"/>
          <w:b/>
          <w:color w:val="000000"/>
          <w:sz w:val="20"/>
        </w:rPr>
        <w:t>Seasonal Nature of Business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Generally, but not always, the demand for natural gas and propane decreases during the spring and fall months and increases during the winter months and, in some areas, also increases during the summer months. Seasonal anomalies such as mild winters or summers also may impact this demand. In addition, pipelines, utilities, local distribution companies and industrial end-users utilize natural gas storage facilities and purchase some of their anticipated winter requirements during the summer. This can also impact the seasonality of demand. Exports can also impact demand based on the seasonality of global markets. </w:t>
      </w:r>
    </w:p>
    <w:p>
      <w:pPr>
        <w:pStyle w:val="TextBody"/>
        <w:bidi w:val="0"/>
        <w:spacing w:before="180" w:after="180"/>
        <w:jc w:val="left"/>
        <w:rPr>
          <w:rFonts w:ascii="Times New Roman" w:hAnsi="Times New Roman"/>
          <w:b/>
          <w:color w:val="000000"/>
          <w:sz w:val="20"/>
        </w:rPr>
      </w:pPr>
      <w:bookmarkStart w:id="19" w:name="markets"/>
      <w:bookmarkEnd w:id="19"/>
      <w:r>
        <w:rPr>
          <w:rFonts w:ascii="Times New Roman" w:hAnsi="Times New Roman"/>
          <w:b/>
          <w:color w:val="000000"/>
          <w:sz w:val="20"/>
        </w:rPr>
        <w:t>Markets</w:t>
      </w:r>
    </w:p>
    <w:p>
      <w:pPr>
        <w:pStyle w:val="TextBody"/>
        <w:bidi w:val="0"/>
        <w:jc w:val="left"/>
        <w:rPr>
          <w:rFonts w:ascii="Times New Roman" w:hAnsi="Times New Roman"/>
          <w:color w:val="000000"/>
          <w:sz w:val="20"/>
        </w:rPr>
      </w:pPr>
      <w:r>
        <w:rPr>
          <w:rFonts w:ascii="Times New Roman" w:hAnsi="Times New Roman"/>
          <w:color w:val="000000"/>
          <w:sz w:val="20"/>
        </w:rPr>
        <w:t>Our ability to produce and market natural gas, NGLs and oil profitably depends on numerous factors beyond our control. The effect of these factors cannot be accurately predicted or anticipated. Although we cannot predict the occurrence of events that may affect commodity prices or the degree to which commodity prices will be affected, the prices for any commodity that we produce will generally approximate current market prices in the geographic region where we deliver our production.</w:t>
      </w:r>
    </w:p>
    <w:p>
      <w:pPr>
        <w:pStyle w:val="TextBody"/>
        <w:bidi w:val="0"/>
        <w:spacing w:before="180" w:after="283"/>
        <w:jc w:val="left"/>
        <w:rPr>
          <w:rFonts w:ascii="Times New Roman" w:hAnsi="Times New Roman"/>
          <w:sz w:val="20"/>
        </w:rPr>
      </w:pPr>
      <w:bookmarkStart w:id="20" w:name="human_capital_management"/>
      <w:bookmarkEnd w:id="20"/>
      <w:r>
        <w:rPr>
          <w:rFonts w:ascii="Times New Roman" w:hAnsi="Times New Roman"/>
          <w:b/>
          <w:color w:val="000000"/>
          <w:sz w:val="20"/>
        </w:rPr>
        <w:t>Human Capital</w:t>
      </w:r>
      <w:r>
        <w:rPr>
          <w:rFonts w:ascii="Times New Roman" w:hAnsi="Times New Roman"/>
          <w:color w:val="000000"/>
          <w:sz w:val="20"/>
        </w:rPr>
        <w:t xml:space="preserve"> </w:t>
      </w:r>
      <w:r>
        <w:rPr>
          <w:rFonts w:ascii="Times New Roman" w:hAnsi="Times New Roman"/>
          <w:b/>
          <w:color w:val="000000"/>
          <w:sz w:val="20"/>
        </w:rPr>
        <w:t>Management</w:t>
      </w:r>
      <w:r>
        <w:rPr>
          <w:rFonts w:ascii="Times New Roman" w:hAnsi="Times New Roman"/>
          <w:color w:val="000000"/>
          <w:sz w:val="20"/>
        </w:rPr>
        <w:t xml:space="preserve">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We believe our employees provide the foundation of our success. Successful execution of our strategy is dependent on attracting, developing and retaining our skilled employees and members of our management team. The abilities, experience and industry knowledge of our employees significantly benefit our operations and performance. To maximize the contributions of our employees, we regularly evaluate, modify and enhance our policies and practices, including compensation, to increase employee engagement, productivity and efficiency. As of January 1, 2026, we had 564 full-time employees, none of whom are currently covered by a labor union or other collective bargaining arrangement.</w:t>
      </w:r>
    </w:p>
    <w:p>
      <w:pPr>
        <w:pStyle w:val="TextBody"/>
        <w:bidi w:val="0"/>
        <w:jc w:val="left"/>
        <w:rPr>
          <w:rFonts w:ascii="Times New Roman" w:hAnsi="Times New Roman"/>
          <w:sz w:val="20"/>
        </w:rPr>
      </w:pPr>
      <w:r>
        <w:rPr>
          <w:rFonts w:ascii="Times New Roman" w:hAnsi="Times New Roman"/>
          <w:i/>
          <w:color w:val="000000"/>
          <w:sz w:val="20"/>
        </w:rPr>
        <w:t>Compensation and Benefits.</w:t>
      </w:r>
      <w:r>
        <w:rPr>
          <w:rFonts w:ascii="Times New Roman" w:hAnsi="Times New Roman"/>
          <w:color w:val="000000"/>
          <w:sz w:val="20"/>
        </w:rPr>
        <w:t xml:space="preserve"> We review compensation for all employees at least annually to adjust for market conditions and to attract and retain a highly skilled workforce. We encourage our employees to take full advantage of our benefits and programs we offer. In addition to competitive base wages, other benefits include an annual bonus plan, long-term incentive plan, company-matching contributions to the 401(k) plan, healthcare and insurance benefits, flexible spending accounts, flexible work schedules, employee assistance programs and mental health.</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compensation program includes eligibility for full-time employees to receive equity awards, encouraging every employee to think like an owner of the business and be vested in its success. We believe these practices, and those further described below, are the key drivers in our very low voluntary turnover rates, which averaged less than 2% over the five-year period ended December 31, 2025. We believe our high retention rate is in part a result of our corporate culture focused on collaboration and a commitment to employee development and career advancement.</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sz w:val="20"/>
        </w:rPr>
      </w:pPr>
      <w:r>
        <w:rPr>
          <w:rFonts w:ascii="Times New Roman" w:hAnsi="Times New Roman"/>
          <w:i/>
          <w:color w:val="000000"/>
          <w:sz w:val="20"/>
        </w:rPr>
        <w:t>Health and Safety.</w:t>
      </w:r>
      <w:r>
        <w:rPr>
          <w:rFonts w:ascii="Times New Roman" w:hAnsi="Times New Roman"/>
          <w:color w:val="000000"/>
          <w:sz w:val="20"/>
        </w:rPr>
        <w:t xml:space="preserve"> We believe health and safety is a core value ingrained in all aspects of our business. This value is reflected in our strong safety culture that emphasizes personal responsibility and safety leadership both for our employees and contractors on our worksites. Our comprehensive environmental, health and safety (EHS) management system establishes a corporate governance framework for EHS compliance and performance and covers all elements of our operating lifecycle.</w:t>
      </w:r>
    </w:p>
    <w:p>
      <w:pPr>
        <w:pStyle w:val="TextBody"/>
        <w:bidi w:val="0"/>
        <w:spacing w:before="0" w:after="120"/>
        <w:jc w:val="left"/>
        <w:rPr>
          <w:rFonts w:ascii="Times New Roman" w:hAnsi="Times New Roman"/>
          <w:sz w:val="20"/>
        </w:rPr>
      </w:pPr>
      <w:r>
        <w:rPr>
          <w:rFonts w:ascii="Times New Roman" w:hAnsi="Times New Roman"/>
          <w:i/>
          <w:color w:val="000000"/>
          <w:sz w:val="20"/>
        </w:rPr>
        <w:t>Recruiting, Hiring and Advancement.</w:t>
      </w:r>
      <w:r>
        <w:rPr>
          <w:rFonts w:ascii="Times New Roman" w:hAnsi="Times New Roman"/>
          <w:color w:val="000000"/>
          <w:sz w:val="20"/>
        </w:rPr>
        <w:t xml:space="preserve"> Due to the cyclical nature of our business and the fluctuations in activity that can occur, we take a conservative approach to our headcount, carefully evaluating whether a new hire is necessary for an open position or whether we can fill the position by expanding the role of a current employee or several employees. In this way, we provide employees with opportunities to learn new roles and develop their skills horizontally and vertically and limit or minimize layoffs and fluctuations when downturns occur. We support employees in pursuing training opportunities to expand their professional skills. We have also implemented development programs that are designed to build leadership capabilities at all levels.</w:t>
      </w:r>
    </w:p>
    <w:p>
      <w:pPr>
        <w:pStyle w:val="TextBody"/>
        <w:bidi w:val="0"/>
        <w:spacing w:before="60" w:after="180"/>
        <w:jc w:val="left"/>
        <w:rPr>
          <w:rFonts w:ascii="Times New Roman" w:hAnsi="Times New Roman"/>
          <w:color w:val="000000"/>
          <w:sz w:val="20"/>
        </w:rPr>
      </w:pPr>
      <w:r>
        <w:rPr>
          <w:rFonts w:ascii="Times New Roman" w:hAnsi="Times New Roman"/>
          <w:color w:val="000000"/>
          <w:sz w:val="20"/>
        </w:rPr>
        <w:t>We identify qualified candidates by promoting positions internally, engaging in recruiting through our website platforms, campus outreach, internships and attending job fairs. In our recruiting and hiring efforts, we seek to foster a culture of mutual respect and strictly comply with all applicable federal, state and local laws governing non-discrimination in employment. We treat all applicants with the same high level of respect regardless of their gender, ethnicity, religion, national origin, age, marital status, political affiliation, sexual orientation, gender identity, disability or protected veteran status. This philosophy extends to all employees throughout the lifecycle of employment.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Additional information about our commitment to human capital management is available on our website. The information on our website is not incorporated by reference into this annual report.</w:t>
      </w:r>
    </w:p>
    <w:p>
      <w:pPr>
        <w:pStyle w:val="TextBody"/>
        <w:bidi w:val="0"/>
        <w:spacing w:before="0" w:after="180"/>
        <w:jc w:val="left"/>
        <w:rPr>
          <w:rFonts w:ascii="Times New Roman" w:hAnsi="Times New Roman"/>
          <w:b/>
          <w:color w:val="000000"/>
          <w:sz w:val="20"/>
        </w:rPr>
      </w:pPr>
      <w:bookmarkStart w:id="21" w:name="executive_officers_of_the_registrant"/>
      <w:bookmarkEnd w:id="21"/>
      <w:r>
        <w:rPr>
          <w:rFonts w:ascii="Times New Roman" w:hAnsi="Times New Roman"/>
          <w:b/>
          <w:color w:val="000000"/>
          <w:sz w:val="20"/>
        </w:rPr>
        <w:t>Executive Officers of the Registrant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executive officers and their ages as of February 1, 2026, are as follows:</w:t>
      </w:r>
    </w:p>
    <w:tbl>
      <w:tblPr>
        <w:tblW w:w="7990" w:type="dxa"/>
        <w:jc w:val="left"/>
        <w:tblInd w:w="0" w:type="dxa"/>
        <w:tblLayout w:type="fixed"/>
        <w:tblCellMar>
          <w:top w:w="28" w:type="dxa"/>
          <w:left w:w="28" w:type="dxa"/>
          <w:bottom w:w="28" w:type="dxa"/>
          <w:right w:w="28" w:type="dxa"/>
        </w:tblCellMar>
      </w:tblPr>
      <w:tblGrid>
        <w:gridCol w:w="1861"/>
        <w:gridCol w:w="146"/>
        <w:gridCol w:w="406"/>
        <w:gridCol w:w="146"/>
        <w:gridCol w:w="5431"/>
      </w:tblGrid>
      <w:tr>
        <w:trPr/>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31" w:type="dxa"/>
            <w:tcBorders/>
            <w:vAlign w:val="center"/>
          </w:tcPr>
          <w:p>
            <w:pPr>
              <w:pStyle w:val="TableContents"/>
              <w:bidi w:val="0"/>
              <w:spacing w:before="0" w:after="283"/>
              <w:jc w:val="left"/>
              <w:rPr>
                <w:sz w:val="4"/>
                <w:szCs w:val="4"/>
              </w:rPr>
            </w:pPr>
            <w:r>
              <w:rPr>
                <w:sz w:val="4"/>
                <w:szCs w:val="4"/>
              </w:rPr>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Position</w:t>
            </w:r>
          </w:p>
        </w:tc>
      </w:tr>
      <w:tr>
        <w:trPr/>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Dennis L. Degner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President</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 S. Scucchi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 Chief Financial Officer</w:t>
            </w:r>
          </w:p>
        </w:tc>
      </w:tr>
      <w:tr>
        <w:trPr/>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Erin W. McDowell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 – General Counsel and Corporate Secretary</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Ashley S. Kavanaugh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Vice President – Controller and Principal Accounting Officer</w:t>
            </w:r>
          </w:p>
        </w:tc>
      </w:tr>
    </w:tbl>
    <w:p>
      <w:pPr>
        <w:pStyle w:val="TextBody"/>
        <w:bidi w:val="0"/>
        <w:spacing w:before="360" w:after="283"/>
        <w:jc w:val="left"/>
        <w:rPr>
          <w:rFonts w:ascii="Times New Roman" w:hAnsi="Times New Roman"/>
          <w:sz w:val="20"/>
        </w:rPr>
      </w:pPr>
      <w:r>
        <w:rPr>
          <w:rFonts w:ascii="Times New Roman" w:hAnsi="Times New Roman"/>
          <w:b/>
          <w:i/>
          <w:color w:val="000000"/>
          <w:sz w:val="20"/>
        </w:rPr>
        <w:t>Dennis L. Degner</w:t>
      </w:r>
      <w:r>
        <w:rPr>
          <w:rFonts w:ascii="Times New Roman" w:hAnsi="Times New Roman"/>
          <w:b/>
          <w:color w:val="000000"/>
          <w:sz w:val="20"/>
        </w:rPr>
        <w:t>,</w:t>
      </w:r>
      <w:r>
        <w:rPr>
          <w:rFonts w:ascii="Times New Roman" w:hAnsi="Times New Roman"/>
          <w:color w:val="000000"/>
          <w:sz w:val="20"/>
        </w:rPr>
        <w:t xml:space="preserve"> chief executive officer and president, joined Range in 2010. Mr. Degner was named chief executive officer effective May 21, 2023. Mr. Degner previously served as chief operating officer and has more than 25 years of oil and gas experience, having worked in a variety of technical and managerial positions across the United States including Texas, Louisiana, Wyoming, Colorado and Pennsylvania. Prior to joining Range, Mr. Degner held positions with Encana, Sierra Engineering and Halliburton. Mr. Degner is a member of the Society of Petroleum Engineers and has been published for his work on active roles played in the deployment of new technologies. Mr. Degner holds a Bachelor of Science Degree in Agricultural Engineering from Texas A&amp;M University.</w:t>
      </w:r>
    </w:p>
    <w:p>
      <w:pPr>
        <w:pStyle w:val="TextBody"/>
        <w:bidi w:val="0"/>
        <w:spacing w:before="180" w:after="180"/>
        <w:jc w:val="left"/>
        <w:rPr>
          <w:rFonts w:ascii="Times New Roman" w:hAnsi="Times New Roman"/>
          <w:sz w:val="20"/>
        </w:rPr>
      </w:pPr>
      <w:r>
        <w:rPr>
          <w:rFonts w:ascii="Times New Roman" w:hAnsi="Times New Roman"/>
          <w:b/>
          <w:i/>
          <w:color w:val="000000"/>
          <w:sz w:val="20"/>
        </w:rPr>
        <w:t>Mark S. Scucchi</w:t>
      </w:r>
      <w:r>
        <w:rPr>
          <w:rFonts w:ascii="Times New Roman" w:hAnsi="Times New Roman"/>
          <w:b/>
          <w:color w:val="000000"/>
          <w:sz w:val="20"/>
        </w:rPr>
        <w:t>,</w:t>
      </w:r>
      <w:r>
        <w:rPr>
          <w:rFonts w:ascii="Times New Roman" w:hAnsi="Times New Roman"/>
          <w:color w:val="000000"/>
          <w:sz w:val="20"/>
        </w:rPr>
        <w:t xml:space="preserve"> executive vice president – chief financial officer, joined Range in 2008. Mr. Scucchi was named senior vice president – chief financial officer in 2018 and executive vice president in 2024. Previously, Mr. Scucchi served as vice president – finance &amp; treasurer. Prior to joining Range, Mr. Scucchi was with JPMorgan Securities providing commercial and investment banking services to small and mid-cap technology companies. Before joining JPMorgan Securities, Mr. Scucchi spent a number of years at Ernst &amp; Young LLP in the audit practice. Mr. Scucchi earned a Bachelor of Science in Business Administration from Georgetown University and a Master of Science in Accountancy from the University of Notre Dame. Mr. Scucchi is a CFA Charterholder and a licensed certified public accountant in the state of Texas.</w:t>
      </w:r>
    </w:p>
    <w:p>
      <w:pPr>
        <w:pStyle w:val="TextBody"/>
        <w:bidi w:val="0"/>
        <w:spacing w:before="0" w:after="180"/>
        <w:jc w:val="left"/>
        <w:rPr>
          <w:rFonts w:ascii="Times New Roman" w:hAnsi="Times New Roman"/>
          <w:sz w:val="20"/>
        </w:rPr>
      </w:pPr>
      <w:r>
        <w:rPr>
          <w:rFonts w:ascii="Times New Roman" w:hAnsi="Times New Roman"/>
          <w:b/>
          <w:i/>
          <w:color w:val="000000"/>
          <w:sz w:val="20"/>
        </w:rPr>
        <w:t>Erin W. McDowell</w:t>
      </w:r>
      <w:r>
        <w:rPr>
          <w:rFonts w:ascii="Times New Roman" w:hAnsi="Times New Roman"/>
          <w:b/>
          <w:color w:val="000000"/>
          <w:sz w:val="20"/>
        </w:rPr>
        <w:t>,</w:t>
      </w:r>
      <w:r>
        <w:rPr>
          <w:rFonts w:ascii="Times New Roman" w:hAnsi="Times New Roman"/>
          <w:color w:val="000000"/>
          <w:sz w:val="20"/>
        </w:rPr>
        <w:t xml:space="preserve"> senior vice president – general counsel and corporate secretary, joined Range in January 2015 as division counsel for the Appalachia Division and was promoted to vice president, deputy general counsel &amp; assistant corporate secretary before being appointed to general counsel and corporate secretary in March 2023. Ms. McDowell has more than 20 years of legal experience. Prior to joining Range, Ms. McDowell spent over ten years with the law firm Eckert Seamans Cherin &amp; Mellott in the areas of commercial litigation and environmental regulatory counseling. Ms. McDowell graduated from Bucknell University, magna cum laude, with a Bachelor of Arts in Economics and Environmental Studies and then earned a Juris Doctor from the University of Pittsburgh School of Law. </w:t>
      </w:r>
    </w:p>
    <w:p>
      <w:pPr>
        <w:pStyle w:val="TextBody"/>
        <w:bidi w:val="0"/>
        <w:spacing w:before="0" w:after="180"/>
        <w:jc w:val="left"/>
        <w:rPr>
          <w:rFonts w:ascii="Times New Roman" w:hAnsi="Times New Roman"/>
          <w:sz w:val="20"/>
        </w:rPr>
      </w:pPr>
      <w:r>
        <w:rPr>
          <w:rFonts w:ascii="Times New Roman" w:hAnsi="Times New Roman"/>
          <w:b/>
          <w:i/>
          <w:color w:val="000000"/>
          <w:sz w:val="20"/>
        </w:rPr>
        <w:t>Ashley S. Kavanaugh</w:t>
      </w:r>
      <w:r>
        <w:rPr>
          <w:rFonts w:ascii="Times New Roman" w:hAnsi="Times New Roman"/>
          <w:b/>
          <w:color w:val="000000"/>
          <w:sz w:val="20"/>
        </w:rPr>
        <w:t>,</w:t>
      </w:r>
      <w:r>
        <w:rPr>
          <w:rFonts w:ascii="Times New Roman" w:hAnsi="Times New Roman"/>
          <w:color w:val="000000"/>
          <w:sz w:val="20"/>
        </w:rPr>
        <w:t xml:space="preserve"> vice president – controller and principal accounting officer, joined Range in 2012. She held the positions of financial reporting manager and vice president – accounting before being appointed to controller and principal accounting officer in March 2024. Prior to joining Range, she held various positions of increasing responsibility with Ernst &amp; Young LLP beginning in 2004. Ms. Kavanaugh earned a Bachelor of Business Administration and Master of Accountancy from Baylor University and is a licensed certified public accountant in the state of Texas.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sz w:val="20"/>
        </w:rPr>
      </w:pPr>
      <w:bookmarkStart w:id="22" w:name="governmental_regulation"/>
      <w:bookmarkEnd w:id="22"/>
      <w:r>
        <w:rPr>
          <w:rFonts w:ascii="Times New Roman" w:hAnsi="Times New Roman"/>
          <w:b/>
          <w:color w:val="000000"/>
          <w:sz w:val="20"/>
        </w:rPr>
        <w:t>Governmental Regulation</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Enterprises that sell securities in public markets are subject to regulatory oversight by federal agencies such as the SEC. The NYSE, a private stock exchange, also requires us to comply with listing requirements for our common stock. This regulatory oversight imposes on us the responsibility for establishing and maintaining disclosure controls and procedures and internal controls over financial reporting. Additionally, we are responsible for ensuring that the financial statements and other information included in submissions to the SEC do not contain any untrue statement of a material fact or omit to state a material fact necessary to make the statements made in such submissions not misleading. Failure to comply with the NYSE listing rules and regulations of the SEC could subject us to litigation from public or private plaintiffs. Failure to comply with the rules of the NYSE could also result in the de-listing of our common stock, which could have an adverse effect on the market price of our common stock. Compliance with some of these rules and regulations is costly and regulations are subject to change or reinterpretation. </w:t>
      </w:r>
    </w:p>
    <w:p>
      <w:pPr>
        <w:pStyle w:val="TextBody"/>
        <w:bidi w:val="0"/>
        <w:jc w:val="left"/>
        <w:rPr>
          <w:rFonts w:ascii="Times New Roman" w:hAnsi="Times New Roman"/>
          <w:sz w:val="20"/>
        </w:rPr>
      </w:pPr>
      <w:r>
        <w:rPr>
          <w:rFonts w:ascii="Times New Roman" w:hAnsi="Times New Roman"/>
          <w:color w:val="000000"/>
          <w:sz w:val="20"/>
        </w:rPr>
        <w:t xml:space="preserve">Exploration and development and the production and sale of natural gas and NGLs are subject to extensive federal, state and local regulations, mandates and trade agreements. Governmental policies affecting the energy industry, such as taxes, tariffs, duties, price controls, subsidies, incentives, foreign exchange rates and import and export restrictions, can influence the viability and volume of production of certain commodities, the volume and types of imports and exports, whether unprocessed or processed commodity products are traded, and industry profitability. For example, the United States government has in the past imposed, and may in the future impose, tariffs on certain foreign imports and any resulting retaliation by those foreign governments may disrupt aspects of the energy market. Disruption and uncertainty of this sort can affect the price of natural gas and NGLs and may cause us to change our plans for exploration and production levels. An overview of relevant federal, state and local regulations is set forth below. We believe we are in substantial compliance with currently applicable laws and regulations, and the continued substantial compliance with existing requirements will not have a material adverse effect on our financial position, cash flows or results of operations. However, current regulatory requirements may change, currently unforeseen environmental incidents may occur, or past non-compliance with environmental laws or regulations may be discovered. See Item 1A. Risk Factors – </w:t>
      </w:r>
      <w:r>
        <w:rPr>
          <w:rFonts w:ascii="Times New Roman" w:hAnsi="Times New Roman"/>
          <w:i/>
          <w:color w:val="000000"/>
          <w:sz w:val="20"/>
        </w:rPr>
        <w:t>The natural gas industry is subject to extensive regulation</w:t>
      </w:r>
      <w:r>
        <w:rPr>
          <w:rFonts w:ascii="Times New Roman" w:hAnsi="Times New Roman"/>
          <w:color w:val="000000"/>
          <w:sz w:val="20"/>
        </w:rPr>
        <w:t xml:space="preserve">. We do not believe we are affected differently by these regulations than others in the industry. </w:t>
      </w:r>
    </w:p>
    <w:p>
      <w:pPr>
        <w:pStyle w:val="TextBody"/>
        <w:bidi w:val="0"/>
        <w:spacing w:before="180" w:after="180"/>
        <w:jc w:val="left"/>
        <w:rPr>
          <w:rFonts w:ascii="Times New Roman" w:hAnsi="Times New Roman"/>
          <w:sz w:val="20"/>
        </w:rPr>
      </w:pPr>
      <w:r>
        <w:rPr>
          <w:rFonts w:ascii="Times New Roman" w:hAnsi="Times New Roman"/>
          <w:b/>
          <w:i/>
          <w:color w:val="000000"/>
          <w:sz w:val="20"/>
        </w:rPr>
        <w:t xml:space="preserve">General Overview. </w:t>
      </w:r>
      <w:r>
        <w:rPr>
          <w:rFonts w:ascii="Times New Roman" w:hAnsi="Times New Roman"/>
          <w:color w:val="000000"/>
          <w:sz w:val="20"/>
        </w:rPr>
        <w:t xml:space="preserve">Our oil and gas operations are subject to various federal, state and local laws and regulations. Generally speaking, these regulations relate to matters that include, but are not limited to: </w:t>
      </w:r>
    </w:p>
    <w:p>
      <w:pPr>
        <w:pStyle w:val="TextBody"/>
        <w:bidi w:val="0"/>
        <w:spacing w:before="0" w:after="100"/>
        <w:jc w:val="left"/>
        <w:rPr>
          <w:color w:val="000000"/>
        </w:rPr>
      </w:pPr>
      <w:r>
        <w:rPr>
          <w:color w:val="000000"/>
        </w:rPr>
        <w:t>•</w:t>
      </w:r>
    </w:p>
    <w:p>
      <w:pPr>
        <w:pStyle w:val="TextBody"/>
        <w:bidi w:val="0"/>
        <w:spacing w:before="0" w:after="100"/>
        <w:jc w:val="left"/>
        <w:rPr>
          <w:rFonts w:ascii="Times New Roman" w:hAnsi="Times New Roman"/>
          <w:color w:val="000000"/>
          <w:sz w:val="20"/>
        </w:rPr>
      </w:pPr>
      <w:r>
        <w:rPr>
          <w:rFonts w:ascii="Times New Roman" w:hAnsi="Times New Roman"/>
          <w:color w:val="000000"/>
          <w:sz w:val="20"/>
        </w:rPr>
        <w:t xml:space="preserve">leases; </w:t>
      </w:r>
    </w:p>
    <w:p>
      <w:pPr>
        <w:pStyle w:val="TextBody"/>
        <w:bidi w:val="0"/>
        <w:spacing w:before="0" w:after="100"/>
        <w:jc w:val="left"/>
        <w:rPr>
          <w:color w:val="000000"/>
        </w:rPr>
      </w:pPr>
      <w:r>
        <w:rPr>
          <w:color w:val="000000"/>
        </w:rPr>
        <w:t>•</w:t>
      </w:r>
    </w:p>
    <w:p>
      <w:pPr>
        <w:pStyle w:val="TextBody"/>
        <w:bidi w:val="0"/>
        <w:spacing w:before="0" w:after="100"/>
        <w:jc w:val="left"/>
        <w:rPr>
          <w:rFonts w:ascii="Times New Roman" w:hAnsi="Times New Roman"/>
          <w:color w:val="000000"/>
          <w:sz w:val="20"/>
        </w:rPr>
      </w:pPr>
      <w:r>
        <w:rPr>
          <w:rFonts w:ascii="Times New Roman" w:hAnsi="Times New Roman"/>
          <w:color w:val="000000"/>
          <w:sz w:val="20"/>
        </w:rPr>
        <w:t xml:space="preserve">acquisition of seismic data; </w:t>
      </w:r>
    </w:p>
    <w:p>
      <w:pPr>
        <w:pStyle w:val="TextBody"/>
        <w:bidi w:val="0"/>
        <w:spacing w:before="0" w:after="100"/>
        <w:jc w:val="left"/>
        <w:rPr>
          <w:color w:val="000000"/>
        </w:rPr>
      </w:pPr>
      <w:r>
        <w:rPr>
          <w:color w:val="000000"/>
        </w:rPr>
        <w:t>•</w:t>
      </w:r>
    </w:p>
    <w:p>
      <w:pPr>
        <w:pStyle w:val="TextBody"/>
        <w:bidi w:val="0"/>
        <w:spacing w:before="0" w:after="100"/>
        <w:jc w:val="left"/>
        <w:rPr>
          <w:rFonts w:ascii="Times New Roman" w:hAnsi="Times New Roman"/>
          <w:color w:val="000000"/>
          <w:sz w:val="20"/>
        </w:rPr>
      </w:pPr>
      <w:r>
        <w:rPr>
          <w:rFonts w:ascii="Times New Roman" w:hAnsi="Times New Roman"/>
          <w:color w:val="000000"/>
          <w:sz w:val="20"/>
        </w:rPr>
        <w:t xml:space="preserve">location of wells, pads, roads, water storage, facilities or rights of way; </w:t>
      </w:r>
    </w:p>
    <w:p>
      <w:pPr>
        <w:pStyle w:val="TextBody"/>
        <w:bidi w:val="0"/>
        <w:spacing w:before="0" w:after="100"/>
        <w:jc w:val="left"/>
        <w:rPr>
          <w:color w:val="000000"/>
        </w:rPr>
      </w:pPr>
      <w:r>
        <w:rPr>
          <w:color w:val="000000"/>
        </w:rPr>
        <w:t>•</w:t>
      </w:r>
    </w:p>
    <w:p>
      <w:pPr>
        <w:pStyle w:val="TextBody"/>
        <w:bidi w:val="0"/>
        <w:spacing w:before="0" w:after="100"/>
        <w:jc w:val="left"/>
        <w:rPr>
          <w:rFonts w:ascii="Times New Roman" w:hAnsi="Times New Roman"/>
          <w:color w:val="000000"/>
          <w:sz w:val="20"/>
        </w:rPr>
      </w:pPr>
      <w:r>
        <w:rPr>
          <w:rFonts w:ascii="Times New Roman" w:hAnsi="Times New Roman"/>
          <w:color w:val="000000"/>
          <w:sz w:val="20"/>
        </w:rPr>
        <w:t xml:space="preserve">size of drilling and spacing units or proration units; </w:t>
      </w:r>
    </w:p>
    <w:p>
      <w:pPr>
        <w:pStyle w:val="TextBody"/>
        <w:bidi w:val="0"/>
        <w:spacing w:before="0" w:after="100"/>
        <w:jc w:val="left"/>
        <w:rPr>
          <w:color w:val="000000"/>
        </w:rPr>
      </w:pPr>
      <w:r>
        <w:rPr>
          <w:color w:val="000000"/>
        </w:rPr>
        <w:t>•</w:t>
      </w:r>
    </w:p>
    <w:p>
      <w:pPr>
        <w:pStyle w:val="TextBody"/>
        <w:bidi w:val="0"/>
        <w:spacing w:before="0" w:after="100"/>
        <w:jc w:val="left"/>
        <w:rPr>
          <w:rFonts w:ascii="Times New Roman" w:hAnsi="Times New Roman"/>
          <w:color w:val="000000"/>
          <w:sz w:val="20"/>
        </w:rPr>
      </w:pPr>
      <w:r>
        <w:rPr>
          <w:rFonts w:ascii="Times New Roman" w:hAnsi="Times New Roman"/>
          <w:color w:val="000000"/>
          <w:sz w:val="20"/>
        </w:rPr>
        <w:t xml:space="preserve">number of wells that may be drilled in a unit; </w:t>
      </w:r>
    </w:p>
    <w:p>
      <w:pPr>
        <w:pStyle w:val="TextBody"/>
        <w:bidi w:val="0"/>
        <w:spacing w:before="0" w:after="100"/>
        <w:jc w:val="left"/>
        <w:rPr>
          <w:color w:val="000000"/>
        </w:rPr>
      </w:pPr>
      <w:r>
        <w:rPr>
          <w:color w:val="000000"/>
        </w:rPr>
        <w:t>•</w:t>
      </w:r>
    </w:p>
    <w:p>
      <w:pPr>
        <w:pStyle w:val="TextBody"/>
        <w:bidi w:val="0"/>
        <w:spacing w:before="0" w:after="100"/>
        <w:jc w:val="left"/>
        <w:rPr>
          <w:rFonts w:ascii="Times New Roman" w:hAnsi="Times New Roman"/>
          <w:color w:val="000000"/>
          <w:sz w:val="20"/>
        </w:rPr>
      </w:pPr>
      <w:r>
        <w:rPr>
          <w:rFonts w:ascii="Times New Roman" w:hAnsi="Times New Roman"/>
          <w:color w:val="000000"/>
          <w:sz w:val="20"/>
        </w:rPr>
        <w:t xml:space="preserve">unitization or pooling of oil and gas properties; </w:t>
      </w:r>
    </w:p>
    <w:p>
      <w:pPr>
        <w:pStyle w:val="TextBody"/>
        <w:bidi w:val="0"/>
        <w:spacing w:before="0" w:after="100"/>
        <w:jc w:val="left"/>
        <w:rPr>
          <w:color w:val="000000"/>
        </w:rPr>
      </w:pPr>
      <w:r>
        <w:rPr>
          <w:color w:val="000000"/>
        </w:rPr>
        <w:t>•</w:t>
      </w:r>
    </w:p>
    <w:p>
      <w:pPr>
        <w:pStyle w:val="TextBody"/>
        <w:bidi w:val="0"/>
        <w:spacing w:before="0" w:after="100"/>
        <w:jc w:val="left"/>
        <w:rPr>
          <w:rFonts w:ascii="Times New Roman" w:hAnsi="Times New Roman"/>
          <w:color w:val="000000"/>
          <w:sz w:val="20"/>
        </w:rPr>
      </w:pPr>
      <w:r>
        <w:rPr>
          <w:rFonts w:ascii="Times New Roman" w:hAnsi="Times New Roman"/>
          <w:color w:val="000000"/>
          <w:sz w:val="20"/>
        </w:rPr>
        <w:t xml:space="preserve">drilling, casing and completion of wells; </w:t>
      </w:r>
    </w:p>
    <w:p>
      <w:pPr>
        <w:pStyle w:val="TextBody"/>
        <w:bidi w:val="0"/>
        <w:spacing w:before="0" w:after="100"/>
        <w:jc w:val="left"/>
        <w:rPr>
          <w:color w:val="000000"/>
        </w:rPr>
      </w:pPr>
      <w:r>
        <w:rPr>
          <w:color w:val="000000"/>
        </w:rPr>
        <w:t>•</w:t>
      </w:r>
    </w:p>
    <w:p>
      <w:pPr>
        <w:pStyle w:val="TextBody"/>
        <w:bidi w:val="0"/>
        <w:spacing w:before="0" w:after="100"/>
        <w:jc w:val="left"/>
        <w:rPr>
          <w:rFonts w:ascii="Times New Roman" w:hAnsi="Times New Roman"/>
          <w:color w:val="000000"/>
          <w:sz w:val="20"/>
        </w:rPr>
      </w:pPr>
      <w:r>
        <w:rPr>
          <w:rFonts w:ascii="Times New Roman" w:hAnsi="Times New Roman"/>
          <w:color w:val="000000"/>
          <w:sz w:val="20"/>
        </w:rPr>
        <w:t xml:space="preserve">issuance of permits in connection with exploration, drilling, production, gathering, processing and transportation; </w:t>
      </w:r>
    </w:p>
    <w:p>
      <w:pPr>
        <w:pStyle w:val="TextBody"/>
        <w:bidi w:val="0"/>
        <w:spacing w:before="0" w:after="100"/>
        <w:jc w:val="left"/>
        <w:rPr>
          <w:color w:val="000000"/>
        </w:rPr>
      </w:pPr>
      <w:r>
        <w:rPr>
          <w:color w:val="000000"/>
        </w:rPr>
        <w:t>•</w:t>
      </w:r>
    </w:p>
    <w:p>
      <w:pPr>
        <w:pStyle w:val="TextBody"/>
        <w:bidi w:val="0"/>
        <w:spacing w:before="0" w:after="100"/>
        <w:jc w:val="left"/>
        <w:rPr>
          <w:rFonts w:ascii="Times New Roman" w:hAnsi="Times New Roman"/>
          <w:color w:val="000000"/>
          <w:sz w:val="20"/>
        </w:rPr>
      </w:pPr>
      <w:r>
        <w:rPr>
          <w:rFonts w:ascii="Times New Roman" w:hAnsi="Times New Roman"/>
          <w:color w:val="000000"/>
          <w:sz w:val="20"/>
        </w:rPr>
        <w:t xml:space="preserve">well production, maintenance, operations and security; </w:t>
      </w:r>
    </w:p>
    <w:p>
      <w:pPr>
        <w:pStyle w:val="TextBody"/>
        <w:bidi w:val="0"/>
        <w:spacing w:before="0" w:after="100"/>
        <w:jc w:val="left"/>
        <w:rPr>
          <w:color w:val="000000"/>
        </w:rPr>
      </w:pPr>
      <w:r>
        <w:rPr>
          <w:color w:val="000000"/>
        </w:rPr>
        <w:t>•</w:t>
      </w:r>
    </w:p>
    <w:p>
      <w:pPr>
        <w:pStyle w:val="TextBody"/>
        <w:bidi w:val="0"/>
        <w:spacing w:before="0" w:after="100"/>
        <w:jc w:val="left"/>
        <w:rPr>
          <w:rFonts w:ascii="Times New Roman" w:hAnsi="Times New Roman"/>
          <w:color w:val="000000"/>
          <w:sz w:val="20"/>
        </w:rPr>
      </w:pPr>
      <w:r>
        <w:rPr>
          <w:rFonts w:ascii="Times New Roman" w:hAnsi="Times New Roman"/>
          <w:color w:val="000000"/>
          <w:sz w:val="20"/>
        </w:rPr>
        <w:t xml:space="preserve">spill prevention and containment plans; </w:t>
      </w:r>
    </w:p>
    <w:p>
      <w:pPr>
        <w:pStyle w:val="TextBody"/>
        <w:bidi w:val="0"/>
        <w:spacing w:before="0" w:after="100"/>
        <w:jc w:val="left"/>
        <w:rPr>
          <w:color w:val="000000"/>
        </w:rPr>
      </w:pPr>
      <w:r>
        <w:rPr>
          <w:color w:val="000000"/>
        </w:rPr>
        <w:t>•</w:t>
      </w:r>
    </w:p>
    <w:p>
      <w:pPr>
        <w:pStyle w:val="TextBody"/>
        <w:bidi w:val="0"/>
        <w:spacing w:before="0" w:after="100"/>
        <w:jc w:val="left"/>
        <w:rPr>
          <w:rFonts w:ascii="Times New Roman" w:hAnsi="Times New Roman"/>
          <w:color w:val="000000"/>
          <w:sz w:val="20"/>
        </w:rPr>
      </w:pPr>
      <w:r>
        <w:rPr>
          <w:rFonts w:ascii="Times New Roman" w:hAnsi="Times New Roman"/>
          <w:color w:val="000000"/>
          <w:sz w:val="20"/>
        </w:rPr>
        <w:t xml:space="preserve">emissions permitting or limitations; </w:t>
      </w:r>
    </w:p>
    <w:p>
      <w:pPr>
        <w:pStyle w:val="TextBody"/>
        <w:bidi w:val="0"/>
        <w:spacing w:before="0" w:after="100"/>
        <w:jc w:val="left"/>
        <w:rPr>
          <w:color w:val="000000"/>
        </w:rPr>
      </w:pPr>
      <w:r>
        <w:rPr>
          <w:color w:val="000000"/>
        </w:rPr>
        <w:t>•</w:t>
      </w:r>
    </w:p>
    <w:p>
      <w:pPr>
        <w:pStyle w:val="TextBody"/>
        <w:bidi w:val="0"/>
        <w:spacing w:before="0" w:after="100"/>
        <w:jc w:val="left"/>
        <w:rPr>
          <w:rFonts w:ascii="Times New Roman" w:hAnsi="Times New Roman"/>
          <w:color w:val="000000"/>
          <w:sz w:val="20"/>
        </w:rPr>
      </w:pPr>
      <w:r>
        <w:rPr>
          <w:rFonts w:ascii="Times New Roman" w:hAnsi="Times New Roman"/>
          <w:color w:val="000000"/>
          <w:sz w:val="20"/>
        </w:rPr>
        <w:t xml:space="preserve">protection of endangered species; </w:t>
      </w:r>
    </w:p>
    <w:p>
      <w:pPr>
        <w:pStyle w:val="TextBody"/>
        <w:bidi w:val="0"/>
        <w:spacing w:before="0" w:after="100"/>
        <w:jc w:val="left"/>
        <w:rPr>
          <w:color w:val="000000"/>
        </w:rPr>
      </w:pPr>
      <w:r>
        <w:rPr>
          <w:color w:val="000000"/>
        </w:rPr>
        <w:t>•</w:t>
      </w:r>
    </w:p>
    <w:p>
      <w:pPr>
        <w:pStyle w:val="TextBody"/>
        <w:bidi w:val="0"/>
        <w:spacing w:before="0" w:after="100"/>
        <w:jc w:val="left"/>
        <w:rPr>
          <w:rFonts w:ascii="Times New Roman" w:hAnsi="Times New Roman"/>
          <w:color w:val="000000"/>
          <w:sz w:val="20"/>
        </w:rPr>
      </w:pPr>
      <w:r>
        <w:rPr>
          <w:rFonts w:ascii="Times New Roman" w:hAnsi="Times New Roman"/>
          <w:color w:val="000000"/>
          <w:sz w:val="20"/>
        </w:rPr>
        <w:t xml:space="preserve">use, transportation, storage and disposal of hazardous waste, fluids and materials incidental to natural gas and NGLs operations; </w:t>
      </w:r>
    </w:p>
    <w:p>
      <w:pPr>
        <w:pStyle w:val="TextBody"/>
        <w:bidi w:val="0"/>
        <w:spacing w:before="0" w:after="100"/>
        <w:jc w:val="left"/>
        <w:rPr>
          <w:color w:val="000000"/>
        </w:rPr>
      </w:pPr>
      <w:r>
        <w:rPr>
          <w:color w:val="000000"/>
        </w:rPr>
        <w:t>•</w:t>
      </w:r>
    </w:p>
    <w:p>
      <w:pPr>
        <w:pStyle w:val="TextBody"/>
        <w:bidi w:val="0"/>
        <w:spacing w:before="0" w:after="100"/>
        <w:jc w:val="left"/>
        <w:rPr>
          <w:rFonts w:ascii="Times New Roman" w:hAnsi="Times New Roman"/>
          <w:color w:val="000000"/>
          <w:sz w:val="20"/>
        </w:rPr>
      </w:pPr>
      <w:r>
        <w:rPr>
          <w:rFonts w:ascii="Times New Roman" w:hAnsi="Times New Roman"/>
          <w:color w:val="000000"/>
          <w:sz w:val="20"/>
        </w:rPr>
        <w:t xml:space="preserve">surface usage and the restoration of properties upon which wells have been drilled; </w:t>
      </w:r>
    </w:p>
    <w:p>
      <w:pPr>
        <w:pStyle w:val="TextBody"/>
        <w:bidi w:val="0"/>
        <w:spacing w:before="0" w:after="100"/>
        <w:jc w:val="left"/>
        <w:rPr>
          <w:color w:val="000000"/>
        </w:rPr>
      </w:pPr>
      <w:r>
        <w:rPr>
          <w:color w:val="000000"/>
        </w:rPr>
        <w:t>•</w:t>
      </w:r>
    </w:p>
    <w:p>
      <w:pPr>
        <w:pStyle w:val="TextBody"/>
        <w:bidi w:val="0"/>
        <w:spacing w:before="0" w:after="100"/>
        <w:jc w:val="left"/>
        <w:rPr>
          <w:rFonts w:ascii="Times New Roman" w:hAnsi="Times New Roman"/>
          <w:color w:val="000000"/>
          <w:sz w:val="20"/>
        </w:rPr>
      </w:pPr>
      <w:r>
        <w:rPr>
          <w:rFonts w:ascii="Times New Roman" w:hAnsi="Times New Roman"/>
          <w:color w:val="000000"/>
          <w:sz w:val="20"/>
        </w:rPr>
        <w:t xml:space="preserve">calculation and disbursement of royalty payments and production taxes; </w:t>
      </w:r>
    </w:p>
    <w:p>
      <w:pPr>
        <w:pStyle w:val="TextBody"/>
        <w:bidi w:val="0"/>
        <w:spacing w:before="0" w:after="100"/>
        <w:jc w:val="left"/>
        <w:rPr>
          <w:color w:val="000000"/>
        </w:rPr>
      </w:pPr>
      <w:r>
        <w:rPr>
          <w:color w:val="000000"/>
        </w:rPr>
        <w:t>•</w:t>
      </w:r>
    </w:p>
    <w:p>
      <w:pPr>
        <w:pStyle w:val="TextBody"/>
        <w:bidi w:val="0"/>
        <w:spacing w:before="0" w:after="100"/>
        <w:jc w:val="left"/>
        <w:rPr>
          <w:rFonts w:ascii="Times New Roman" w:hAnsi="Times New Roman"/>
          <w:color w:val="000000"/>
          <w:sz w:val="20"/>
        </w:rPr>
      </w:pPr>
      <w:r>
        <w:rPr>
          <w:rFonts w:ascii="Times New Roman" w:hAnsi="Times New Roman"/>
          <w:color w:val="000000"/>
          <w:sz w:val="20"/>
        </w:rPr>
        <w:t>plugging and abandoning of wells;</w:t>
      </w:r>
    </w:p>
    <w:p>
      <w:pPr>
        <w:pStyle w:val="TextBody"/>
        <w:bidi w:val="0"/>
        <w:spacing w:before="0" w:after="100"/>
        <w:jc w:val="left"/>
        <w:rPr>
          <w:color w:val="000000"/>
        </w:rPr>
      </w:pPr>
      <w:r>
        <w:rPr>
          <w:color w:val="000000"/>
        </w:rPr>
        <w:t>•</w:t>
      </w:r>
    </w:p>
    <w:p>
      <w:pPr>
        <w:pStyle w:val="TextBody"/>
        <w:bidi w:val="0"/>
        <w:spacing w:before="0" w:after="100"/>
        <w:jc w:val="left"/>
        <w:rPr>
          <w:rFonts w:ascii="Times New Roman" w:hAnsi="Times New Roman"/>
          <w:color w:val="000000"/>
          <w:sz w:val="20"/>
        </w:rPr>
      </w:pPr>
      <w:r>
        <w:rPr>
          <w:rFonts w:ascii="Times New Roman" w:hAnsi="Times New Roman"/>
          <w:color w:val="000000"/>
          <w:sz w:val="20"/>
        </w:rPr>
        <w:t>hydraulic fracturing;</w:t>
      </w:r>
    </w:p>
    <w:p>
      <w:pPr>
        <w:pStyle w:val="TextBody"/>
        <w:bidi w:val="0"/>
        <w:spacing w:before="0" w:after="100"/>
        <w:jc w:val="left"/>
        <w:rPr>
          <w:color w:val="000000"/>
        </w:rPr>
      </w:pPr>
      <w:r>
        <w:rPr>
          <w:color w:val="000000"/>
        </w:rPr>
        <w:t>•</w:t>
      </w:r>
    </w:p>
    <w:p>
      <w:pPr>
        <w:pStyle w:val="TextBody"/>
        <w:bidi w:val="0"/>
        <w:spacing w:before="0" w:after="100"/>
        <w:jc w:val="left"/>
        <w:rPr>
          <w:rFonts w:ascii="Times New Roman" w:hAnsi="Times New Roman"/>
          <w:color w:val="000000"/>
          <w:sz w:val="20"/>
        </w:rPr>
      </w:pPr>
      <w:r>
        <w:rPr>
          <w:rFonts w:ascii="Times New Roman" w:hAnsi="Times New Roman"/>
          <w:color w:val="000000"/>
          <w:sz w:val="20"/>
        </w:rPr>
        <w:t>water withdrawal and water transfer;</w:t>
      </w:r>
    </w:p>
    <w:p>
      <w:pPr>
        <w:pStyle w:val="TextBody"/>
        <w:bidi w:val="0"/>
        <w:spacing w:before="0" w:after="100"/>
        <w:jc w:val="left"/>
        <w:rPr>
          <w:color w:val="000000"/>
        </w:rPr>
      </w:pPr>
      <w:r>
        <w:rPr>
          <w:color w:val="000000"/>
        </w:rPr>
        <w:t>•</w:t>
      </w:r>
    </w:p>
    <w:p>
      <w:pPr>
        <w:pStyle w:val="TextBody"/>
        <w:bidi w:val="0"/>
        <w:spacing w:before="0" w:after="100"/>
        <w:jc w:val="left"/>
        <w:rPr>
          <w:rFonts w:ascii="Times New Roman" w:hAnsi="Times New Roman"/>
          <w:color w:val="000000"/>
          <w:sz w:val="20"/>
        </w:rPr>
      </w:pPr>
      <w:r>
        <w:rPr>
          <w:rFonts w:ascii="Times New Roman" w:hAnsi="Times New Roman"/>
          <w:color w:val="000000"/>
          <w:sz w:val="20"/>
        </w:rPr>
        <w:t>marketing of production;</w:t>
      </w:r>
    </w:p>
    <w:p>
      <w:pPr>
        <w:pStyle w:val="TextBody"/>
        <w:bidi w:val="0"/>
        <w:spacing w:before="0" w:after="100"/>
        <w:jc w:val="left"/>
        <w:rPr>
          <w:color w:val="000000"/>
        </w:rPr>
      </w:pPr>
      <w:r>
        <w:rPr>
          <w:color w:val="000000"/>
        </w:rPr>
        <w:t>•</w:t>
      </w:r>
    </w:p>
    <w:p>
      <w:pPr>
        <w:pStyle w:val="TextBody"/>
        <w:bidi w:val="0"/>
        <w:spacing w:before="0" w:after="100"/>
        <w:jc w:val="left"/>
        <w:rPr>
          <w:rFonts w:ascii="Times New Roman" w:hAnsi="Times New Roman"/>
          <w:color w:val="000000"/>
          <w:sz w:val="20"/>
        </w:rPr>
      </w:pPr>
      <w:r>
        <w:rPr>
          <w:rFonts w:ascii="Times New Roman" w:hAnsi="Times New Roman"/>
          <w:color w:val="000000"/>
          <w:sz w:val="20"/>
        </w:rPr>
        <w:t>transportation of production; and</w:t>
      </w:r>
    </w:p>
    <w:p>
      <w:pPr>
        <w:pStyle w:val="TextBody"/>
        <w:bidi w:val="0"/>
        <w:spacing w:before="0" w:after="100"/>
        <w:jc w:val="left"/>
        <w:rPr>
          <w:color w:val="000000"/>
        </w:rPr>
      </w:pPr>
      <w:r>
        <w:rPr>
          <w:color w:val="000000"/>
        </w:rPr>
        <w:t>•</w:t>
      </w:r>
    </w:p>
    <w:p>
      <w:pPr>
        <w:pStyle w:val="TextBody"/>
        <w:bidi w:val="0"/>
        <w:spacing w:before="0" w:after="100"/>
        <w:jc w:val="left"/>
        <w:rPr>
          <w:rFonts w:ascii="Times New Roman" w:hAnsi="Times New Roman"/>
          <w:color w:val="000000"/>
          <w:sz w:val="20"/>
        </w:rPr>
      </w:pPr>
      <w:r>
        <w:rPr>
          <w:rFonts w:ascii="Times New Roman" w:hAnsi="Times New Roman"/>
          <w:color w:val="000000"/>
          <w:sz w:val="20"/>
        </w:rPr>
        <w:t>health and safety of employees and contract service providers.</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In August 2005, the United States Congress ("Congress") enacted the Energy Policy Act of 2005 ("EPAct 2005"). Among other matters, EPAct 2005 amends the Natural Gas Act ("NGA") to make it unlawful for "any entity," including otherwise non-jurisdictional producers such as Range, to use any deceptive or manipulative device or contrivance in connection with the purchase or sale of natural gas or the purchase or sale of transportation services subject to regulation by the Federal Energy Regulatory Commission (the "FERC"), in contravention of rules prescribed by the FERC. In January 2006, the FERC issued rules implementing this provision. The rules make it unlawful in connection with the purchase or sale of natural gas subject to the jurisdiction of the FERC, or the purchase or sale of transportation services subject to the jurisdiction of the FERC, for any entity, directly or indirectly, to use or employ any device, scheme or artifice to defraud; to make any untrue statement of material fact or omit any such statement necessary to make the statements not misleading; or to engage in any act or practice that operates as a fraud or deceit upon any person. EPAct 2005 also gives the FERC authority to impose civil penalties for violations of the NGA. The anti-manipulation rule does not apply to activities that relate only to intrastate or other non-jurisdictional sales or gathering, but does apply to activities or otherwise non-jurisdictional entities to the extent the activities are conducted in connection with gas sales, purchases or transportation subject to the FERC’s jurisdiction which includes the reporting requirements under Order 704 (as defined and described below). Therefore, EPAct 2005 was a significant expansion of the FERC’s enforcement authority. Range has not been affected differently than any other producer of natural gas by this act. Failure to comply with applicable laws and regulations with respect to EPAct 2005 could result in substantial penalties and the regulatory burden on the industry increases the cost of doing business and affects profitability. Although we believe we are in substantial compliance with all applicable laws and regulations with respect to EPAct 2005, such laws and regulations are frequently amended or reinterpreted. Therefore, we are unable to predict the future costs or impact of compliance. Additional proposals and proceedings that affect the oil and natural gas industry are regularly considered by Congress, the states, the FERC, other federal regulatory entities and the courts. We cannot predict when or whether any such proposals may become effective. </w:t>
      </w:r>
    </w:p>
    <w:p>
      <w:pPr>
        <w:pStyle w:val="TextBody"/>
        <w:bidi w:val="0"/>
        <w:spacing w:before="0" w:after="180"/>
        <w:jc w:val="left"/>
        <w:rPr>
          <w:rFonts w:ascii="Times New Roman" w:hAnsi="Times New Roman"/>
          <w:sz w:val="20"/>
        </w:rPr>
      </w:pPr>
      <w:r>
        <w:rPr>
          <w:rFonts w:ascii="Times New Roman" w:hAnsi="Times New Roman"/>
          <w:color w:val="000000"/>
          <w:sz w:val="20"/>
        </w:rPr>
        <w:t>In December 2007, the FERC issued a final rule on the annual natural gas transaction reporting requirements, as amended by subsequent orders on rehearing ("Order 704"). Under Order 704, wholesale buyers and sellers of more than 2.2 million Mmbtus of physical natural gas in the previous calendar year, including natural gas gatherers and marketers, are required to report to the FERC, on May 1</w:t>
      </w:r>
      <w:r>
        <w:rPr>
          <w:rFonts w:ascii="Times New Roman" w:hAnsi="Times New Roman"/>
          <w:color w:val="000000"/>
          <w:sz w:val="13"/>
        </w:rPr>
        <w:t>st</w:t>
      </w:r>
      <w:r>
        <w:rPr>
          <w:rFonts w:ascii="Times New Roman" w:hAnsi="Times New Roman"/>
          <w:color w:val="000000"/>
          <w:sz w:val="20"/>
        </w:rPr>
        <w:t xml:space="preserve"> of each year, aggregate volumes of natural gas purchased or sold at wholesale in the prior calendar year to the extent such transactions utilize, contribute to, or may contribute to the formation of price indices. It is the responsibility of the reporting entity to determine which individual transactions should be reported based on the guidance of Order 704. Order 704 also requires market participants to indicate whether they report prices to any index publishers and, if so, whether their reporting complies with the FERC’s policy statement on price reporting.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Intrastate gas pipeline transportation rates are subject to regulation by state regulatory commissions. The basis for intrastate gas pipeline regulation, and the degree of regulatory oversight and scrutiny given to intrastate gas pipeline rates, varies from state to state. Additional proposals and proceedings that might affect the gas industry are considered from time to time by Congress, the FERC, state regulatory bodies and the courts. We cannot predict when or if any such proposals might become effective or their impact, if any, on our operations. We believe that the regulation of intrastate gas pipeline transportation rates will not affect our operations in any way that is materially different from its effects on similarly situated competitors.</w:t>
      </w:r>
    </w:p>
    <w:p>
      <w:pPr>
        <w:pStyle w:val="TextBody"/>
        <w:bidi w:val="0"/>
        <w:spacing w:before="0" w:after="180"/>
        <w:jc w:val="left"/>
        <w:rPr>
          <w:rFonts w:ascii="Times New Roman" w:hAnsi="Times New Roman"/>
          <w:sz w:val="20"/>
        </w:rPr>
      </w:pPr>
      <w:r>
        <w:rPr>
          <w:rFonts w:ascii="Times New Roman" w:hAnsi="Times New Roman"/>
          <w:i/>
          <w:color w:val="000000"/>
          <w:sz w:val="20"/>
        </w:rPr>
        <w:t xml:space="preserve">Natural gas processing. </w:t>
      </w:r>
      <w:r>
        <w:rPr>
          <w:rFonts w:ascii="Times New Roman" w:hAnsi="Times New Roman"/>
          <w:color w:val="000000"/>
          <w:sz w:val="20"/>
        </w:rPr>
        <w:t>We depend on gas processing operations owned and operated by third parties. There can be no assurance that these processing operations will continue to be unregulated in the future. However, although the processing facilities may not be directly related, other laws and regulations may affect the availability of gas for processing, such as state regulation of production rates and maximum daily production allowable from gas wells, which could impact our processing.</w:t>
      </w:r>
    </w:p>
    <w:p>
      <w:pPr>
        <w:pStyle w:val="TextBody"/>
        <w:bidi w:val="0"/>
        <w:spacing w:before="0" w:after="180"/>
        <w:jc w:val="left"/>
        <w:rPr>
          <w:rFonts w:ascii="Times New Roman" w:hAnsi="Times New Roman"/>
          <w:sz w:val="20"/>
        </w:rPr>
      </w:pPr>
      <w:r>
        <w:rPr>
          <w:rFonts w:ascii="Times New Roman" w:hAnsi="Times New Roman"/>
          <w:i/>
          <w:color w:val="000000"/>
          <w:sz w:val="20"/>
        </w:rPr>
        <w:t xml:space="preserve">Gas gathering. </w:t>
      </w:r>
      <w:r>
        <w:rPr>
          <w:rFonts w:ascii="Times New Roman" w:hAnsi="Times New Roman"/>
          <w:color w:val="000000"/>
          <w:sz w:val="20"/>
        </w:rPr>
        <w:t>Section 1(b) of the NGA exempts gas gathering facilities from FERC jurisdiction. We believe that our gathering facilities meet the tests the FERC has traditionally used to establish a pipeline system’s status as a non-jurisdictional gatherer. There is, however, no bright-line test for determining the jurisdictional status of pipeline facilities. Moreover, the distinction between FERC-regulated transmission services and federally unregulated gathering services is the subject of litigation from time to time, so the classification and regulation of some of our gathering facilities may be subject to change based on future determinations by the FERC and the courts. Thus, we cannot guarantee that the jurisdictional status of our gas gathering facilities will remain unchanged.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depend on gathering facilities owned and operated by third parties to gather production from our properties, and therefore we are affected by the rates charged by these third parties for gathering services. To the extent that changes in federal or state regulations affect the rates charged for gathering services at any of these third-party facilities, we may also be affected by these changes. We do not anticipate that we would be affected differently than similarly situated gas producers.</w:t>
      </w:r>
    </w:p>
    <w:p>
      <w:pPr>
        <w:pStyle w:val="TextBody"/>
        <w:bidi w:val="0"/>
        <w:spacing w:before="0" w:after="180"/>
        <w:jc w:val="left"/>
        <w:rPr>
          <w:rFonts w:ascii="Times New Roman" w:hAnsi="Times New Roman"/>
          <w:sz w:val="20"/>
        </w:rPr>
      </w:pPr>
      <w:r>
        <w:rPr>
          <w:rFonts w:ascii="Times New Roman" w:hAnsi="Times New Roman"/>
          <w:i/>
          <w:color w:val="000000"/>
          <w:sz w:val="20"/>
        </w:rPr>
        <w:t xml:space="preserve">Regulation of transportation and sale of oil and natural gas liquids. </w:t>
      </w:r>
      <w:r>
        <w:rPr>
          <w:rFonts w:ascii="Times New Roman" w:hAnsi="Times New Roman"/>
          <w:color w:val="000000"/>
          <w:sz w:val="20"/>
        </w:rPr>
        <w:t>Intrastate liquids pipeline transportation rates, terms and conditions are subject to regulation by numerous federal, state and local authorities and, in a number of instances, the ability to transport and sell such products on interstate pipelines is dependent on pipelines that are also subject to FERC jurisdiction under the Interstate Commerce Act (the "ICA"). We do not believe these regulations affect us differently than other producers.</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ICA requires that pipelines maintain a tariff on file with the FERC. The tariff sets forth the established rates as well as the rules and regulations governing the service. The ICA requires, among other things, that rates and terms and conditions of service on interstate common carrier pipelines be just and reasonable. Such pipelines must also provide jurisdictional service in a manner that is not unduly discriminatory or unduly preferential. Shippers have the power to challenge new and existing rates and terms and conditions of service before the FERC. Recent FERC actions addressing rate design for interstate transportation provided by intrastate pipelines under the Natural Gas Policy Act Section 311 have affirmed the use of straight</w:t>
        <w:noBreakHyphen/>
        <w:t>fixed</w:t>
        <w:noBreakHyphen/>
        <w:t>variable rate structures for such service. Changes in Section 311 rate design, by increasing the fixed (reservation) component of transportation charges, may affect the tariffs charged by intrastate pipelines and, indirectly, our transportation costs and realized prices where we rely on third</w:t>
        <w:noBreakHyphen/>
        <w:t>party intrastate pipelines providing Section 311 service. We will monitor these developments and the implementation of rate design changes by our counterparties.</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The FERC's regulations include a methodology for oil pipelines to change their rates through the use of an index system that establishes ceiling levels for such rates. Under the FERC’s regulations, a liquids pipeline can request a rate increase that exceeds the rate obtained through application of the indexing methodology by using a cost-of-service approach, but only after the pipeline establishes that a substantial divergence exists between the actual costs experienced by the pipeline and the rates resulting from application of the indexing methodology. In December 2020, the FERC initially set the index ceiling level at Producer Price Index for Finished Goods (“PPI-FG”) plus 0.78%. Then, in January 2022, the FERC acted on rehearing of its rulemaking docket and lowered the index ceiling for this period to PPI-FG minus 0.21% for the five-year period from July 1, 2021 to June 30, 2026. On July 1, 2023, oil pipelines regulated by FERC and utilizing this index system were able to increase their rates by over 13%, which amounted to the largest index rate increase since FERC initiated this methodology. However, in July 2024 and as a result of the outcome in </w:t>
      </w:r>
      <w:r>
        <w:rPr>
          <w:rFonts w:ascii="Times New Roman" w:hAnsi="Times New Roman"/>
          <w:i/>
          <w:color w:val="000000"/>
          <w:sz w:val="20"/>
        </w:rPr>
        <w:t>Liquid Energy Pipeline Association v. FERC</w:t>
      </w:r>
      <w:r>
        <w:rPr>
          <w:rFonts w:ascii="Times New Roman" w:hAnsi="Times New Roman"/>
          <w:color w:val="000000"/>
          <w:sz w:val="20"/>
        </w:rPr>
        <w:t>, the original index ceiling level based on PPI-FG plus 0.78% was reinstated. Subsequently, in October 2024, the FERC issued a supplemental notice of proposed rulemaking that proposed a reduction to the reinstated index by one percent. However, on November 20, 2025, as a result of comments received, the FERC elected to withdraw the supplemental notice of proposed rulemaking and to terminate the rulemaking proceedings related to the index ceiling adjustment. Also on November 20, 2025, the FERC completed its five</w:t>
        <w:noBreakHyphen/>
        <w:t>year review of the oil pipeline index and issued a notice of proposed rule-making applicable to the next five</w:t>
        <w:noBreakHyphen/>
        <w:t>year period beginning July 1, 2026. Beginning July 1, 2026, the proposed index will be PPI-FG minus 1.42%. The FERC sought public comments on this proposed rule-making through January 20, 2026, but there has not been a status update for this proposed rulemaking since the closing of the comment period. Changes to the index level for the 2026–2031 period could affect tariffs charged by pipelines that transport NGLs associated with our production and, indirectly, our realized prices and cash flows. We will monitor these developments and the implementation of any index changes by such counterparties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due to common carrier regulatory obligations of liquids pipelines, capacity must be prorated among shippers in an equitable manner in the event there are nominations in excess of capacity by current shippers or capacity requests are received from a new shipper. Therefore, new shippers or increased volume by existing shippers may reduce the capacity available to us. Any prolonged interruption in the operation or curtailment of available capacity of the pipelines that we rely upon for liquids transportation could have a material adverse effect on our business, financial condition, results of operations and cash flows.</w:t>
      </w:r>
    </w:p>
    <w:p>
      <w:pPr>
        <w:pStyle w:val="TextBody"/>
        <w:bidi w:val="0"/>
        <w:spacing w:before="0" w:after="180"/>
        <w:jc w:val="left"/>
        <w:rPr>
          <w:rFonts w:ascii="Times New Roman" w:hAnsi="Times New Roman"/>
          <w:sz w:val="20"/>
        </w:rPr>
      </w:pPr>
      <w:bookmarkStart w:id="23" w:name="environmental_and_occupational"/>
      <w:bookmarkEnd w:id="23"/>
      <w:r>
        <w:rPr>
          <w:rFonts w:ascii="Times New Roman" w:hAnsi="Times New Roman"/>
          <w:b/>
          <w:color w:val="000000"/>
          <w:sz w:val="20"/>
        </w:rPr>
        <w:t>Environmental and Occupational Health and Safety Matters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Our operations are subject to numerous federal, state and local laws and regulations governing occupational health and safety, the discharge of materials into the environment or otherwise relating to environmental protection, some of which carry substantial administrative, civil and criminal penalties for failure to comply. These laws and regulations may include, but are not limited to: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acquisition of a permit before construction commences;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restriction of the types, quantities and concentrations of various substances that can be released into the environment in connection with drilling, production and transporting through pipelines;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governing the sourcing and disposal of water used in the drilling and completion process;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limiting or prohibiting drilling activities on certain lands lying within wilderness, wetlands, frontier and other protected areas;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requiring some form of remedial action to prevent or mitigate pollution from existing and former operations such as plugging abandoned wells or closing earthen impoundments;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imposing substantial liabilities for pollution resulting from operations or failure to comply with regulatory filings. </w:t>
      </w:r>
    </w:p>
    <w:p>
      <w:pPr>
        <w:pStyle w:val="TextBody"/>
        <w:bidi w:val="0"/>
        <w:spacing w:before="60" w:after="180"/>
        <w:jc w:val="left"/>
        <w:rPr>
          <w:rFonts w:ascii="Times New Roman" w:hAnsi="Times New Roman"/>
          <w:color w:val="000000"/>
          <w:sz w:val="20"/>
        </w:rPr>
      </w:pPr>
      <w:r>
        <w:rPr>
          <w:rFonts w:ascii="Times New Roman" w:hAnsi="Times New Roman"/>
          <w:color w:val="000000"/>
          <w:sz w:val="20"/>
        </w:rPr>
        <w:t xml:space="preserve">These laws and regulations also may restrict the rate of production. Moreover, changes in environmental laws and regulations often occur, and any changes that result in more stringent and costly well construction, drilling, water management or completion activities or more restrictive waste handling, storage, transport, disposal or cleanup requirements for any substances used or produced in our operations could materially adversely affect our operations and financial position, as well as those of the oil and natural gas industry in general.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Oil and gas activities have increasingly faced opposition from certain organizations and, in certain areas, have been restricted or banned by governmental authorities in response to concerns regarding the prevention of pollution or the protection of the environment. Moreover, some environmental laws and regulations may impose strict liability regardless of fault or knowledge, which could subject us to liability for conduct that was lawful at the time it occurred or conduct or conditions caused by prior operators or third parties at sites we currently own or where we have sent wastes for disposal. To the extent future laws or regulations are implemented or other governmental action is taken that prohibits, restricts or materially increases the costs of drilling, or imposes environmental protection requirements that result in increased costs to the oil and gas industry in general, our business and financial results could be adversely affected. The following is a summary of some of the environmental laws to which our operations are subject.</w:t>
      </w:r>
    </w:p>
    <w:p>
      <w:pPr>
        <w:pStyle w:val="TextBody"/>
        <w:bidi w:val="0"/>
        <w:spacing w:before="0" w:after="180"/>
        <w:jc w:val="left"/>
        <w:rPr>
          <w:rFonts w:ascii="Times New Roman" w:hAnsi="Times New Roman"/>
          <w:sz w:val="20"/>
        </w:rPr>
      </w:pPr>
      <w:r>
        <w:rPr>
          <w:rFonts w:ascii="Times New Roman" w:hAnsi="Times New Roman"/>
          <w:i/>
          <w:color w:val="000000"/>
          <w:sz w:val="20"/>
        </w:rPr>
        <w:t xml:space="preserve">Comprehensive Environmental Response, Compensation and Liability Act. </w:t>
      </w:r>
      <w:r>
        <w:rPr>
          <w:rFonts w:ascii="Times New Roman" w:hAnsi="Times New Roman"/>
          <w:color w:val="000000"/>
          <w:sz w:val="20"/>
        </w:rPr>
        <w:t>The Comprehensive Environmental Response, Compensation and Liability Act, as amended (“CERCLA”), also known as the Superfund law and comparable state laws impose liability, without regard to fault or the legality of the original conduct, on certain classes of persons who are considered to be responsible for the release or threatened release of a hazardous substance into the environment. These persons may include owners or operators of the disposal site or sites where the hazardous substance release occurred and companies that disposed of or arranged for the disposal of the hazardous substances at the site where the release occurred. Under CERCLA, all of these persons may be subject to joint and several liability for the costs of cleaning up the hazardous substances that have been released into the environment, for damages to natural resources and for the costs of certain health studies. In addition, it is not uncommon for neighboring landowners and other third parties, pursuant to environmental statutes, common law or both, to file claims for personal injury and property damages allegedly caused by the release of hazardous substances or other pollutants into the environment. Although petroleum, including crude oil and natural gas, is not a hazardous substance under CERCLA, several courts have ruled that certain wastes associated with the production of crude oil may be classified as hazardous substances under CERCLA and that releases of such wastes may therefore give rise to liability under CERCLA. While we generate materials in the course of our operations that may be regulated as hazardous substances, we have not received notification that we may be potentially responsible for cleanup costs under CERCLA. In addition, certain state laws also regulate the disposal of oil and natural gas wastes. New state and federal regulatory initiatives that could have a significant adverse impact on us may periodically be proposed and enacted.</w:t>
      </w:r>
    </w:p>
    <w:p>
      <w:pPr>
        <w:pStyle w:val="TextBody"/>
        <w:bidi w:val="0"/>
        <w:spacing w:before="0" w:after="180"/>
        <w:jc w:val="left"/>
        <w:rPr>
          <w:rFonts w:ascii="Times New Roman" w:hAnsi="Times New Roman"/>
          <w:sz w:val="20"/>
        </w:rPr>
      </w:pPr>
      <w:r>
        <w:rPr>
          <w:rFonts w:ascii="Times New Roman" w:hAnsi="Times New Roman"/>
          <w:i/>
          <w:color w:val="000000"/>
          <w:sz w:val="20"/>
        </w:rPr>
        <w:t>Waste handling.</w:t>
      </w:r>
      <w:r>
        <w:rPr>
          <w:rFonts w:ascii="Times New Roman" w:hAnsi="Times New Roman"/>
          <w:color w:val="000000"/>
          <w:sz w:val="20"/>
        </w:rPr>
        <w:t xml:space="preserve"> We also may incur liability under the Resource Conservation and Recovery Act, as amended (“RCRA”) and comparable state laws, which impose requirements related to the handling and disposal of non-hazardous solid wastes and hazardous wastes. Drilling fluids, produced waters, and other wastes associated with the exploration, development or production of crude oil, natural gas or geothermal energy are currently regulated by the EPA and state agencies under RCRA’s less stringent non-hazardous solid waste provisions. It is possible that these solid wastes could in the future be reclassified as hazardous wastes, whether by amendment of RCRA or adoption of new laws, which could significantly increase our costs to manage and dispose of such wastes. Moreover, ordinary industrial wastes, such as paint wastes, waste solvents, laboratory wastes and waste compressor oils, may be regulated as hazardous wastes. Although the costs of managing wastes classified as hazardous waste may be significant, we do not expect to experience more burdensome costs than similarly situated companies in our industry. In December 2016, the EPA agreed in a consent decree to review its regulation of oil and gas waste. As a result, on April 23, 2019, the EPA decided to retain its current position on the regulation of oil and gas waste pursuant to RCRA. Nevertheless, any future changes in the laws and regulations could have a material adverse effect on our capital expenditures and operating expenses.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We currently own or lease, and have in the past owned or leased, properties that have been used for many years for the exploration and production of crude oil and natural gas. Petroleum hydrocarbons or wastes may have been disposed of or released on or under the properties owned or leased by us, or on or under other locations where such materials have been taken for disposal. In addition, some of these properties have been operated by third parties whose treatment and disposal or release of petroleum hydrocarbons and wastes was not under our control. These properties and the materials disposed or released on them may be subject to CERCLA, RCRA and comparable state laws and regulations. Under such laws and regulations, we could be required to remove or remediate previously disposed wastes or property contamination or to perform remedial activities to prevent future contamination. </w:t>
      </w:r>
    </w:p>
    <w:p>
      <w:pPr>
        <w:pStyle w:val="TextBody"/>
        <w:bidi w:val="0"/>
        <w:spacing w:before="0" w:after="180"/>
        <w:jc w:val="left"/>
        <w:rPr>
          <w:rFonts w:ascii="Times New Roman" w:hAnsi="Times New Roman"/>
          <w:sz w:val="20"/>
        </w:rPr>
      </w:pPr>
      <w:r>
        <w:rPr>
          <w:rFonts w:ascii="Times New Roman" w:hAnsi="Times New Roman"/>
          <w:i/>
          <w:color w:val="000000"/>
          <w:sz w:val="20"/>
        </w:rPr>
        <w:t xml:space="preserve">Water discharges and use. </w:t>
      </w:r>
      <w:r>
        <w:rPr>
          <w:rFonts w:ascii="Times New Roman" w:hAnsi="Times New Roman"/>
          <w:color w:val="000000"/>
          <w:sz w:val="20"/>
        </w:rPr>
        <w:t>The Federal Water Pollution Control Act, as amended (the “CWA”), and comparable state laws impose restrictions and strict controls regarding the discharge of pollutants, including produced waters and other oil and natural gas wastes, into federal and state waters. The discharge of pollutants into regulated waters is prohibited, except in accordance with the terms of a permit issued by the EPA or the state. These laws also prohibit the discharge of dredge and fill material in regulated waters, including wetlands, unless authorized by permit. These laws and any implementing regulations provide for administrative, civil and criminal penalties for any unauthorized discharges of oil and other substances in reportable quantities and may impose substantial potential liability for the costs of removal, remediation and damages. Pursuant to these laws and regulations, we may be required to obtain and maintain approvals or permits for the discharge of wastewater or storm water and are required to develop and implement spill prevention, control and countermeasure plans (also referred to as SPCC plans) in connection with on-site storage of greater than threshold quantities of oil. In November 2025, the EPA and the United States Army Corps of Engineers proposed a rule updating the definition of “waters of the United States” under the CWA. Changes in how federal jurisdictional waters and adjacent wetlands are delineated can affect whether activities require federal permits (such as Section 404 dredge</w:t>
        <w:noBreakHyphen/>
        <w:t>and</w:t>
        <w:noBreakHyphen/>
        <w:t xml:space="preserve">fill authorizations), the scope of permit conditions, and the timing of approvals. Regardless of federal definitional changes, our projects in Pennsylvania remain subject to the Pennsylvania’s Clean Streams Law and related programs, which may require state approvals and best management practices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based on site</w:t>
        <w:noBreakHyphen/>
        <w:t xml:space="preserve">specific determinations. We regularly review our natural gas, NGLs and oil properties to determine the need for new or updated SPCC plans and, where necessary, we will be developing or upgrading such plans, the costs of which are not expected to be substantial.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Oil Pollution Act of 1990, as amended ("OPA"), contains numerous requirements relating to the prevention of and response to oil spills into waters of the United States. The OPA subjects owners of facilities to strict, joint and several liability for all containment and cleanup costs and certain other damages arising from an oil spill, including, but not limited to, the costs of responding to a release of oil to surface waters. While we believe we have been in substantial compliance with OPA, noncompliance could result in varying civil and criminal penalties and liabilities.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Underground Injection Control Program authorized by the Safe Drinking Water Act prohibits any underground injection unless authorized by a permit. In connection with our operations, Range may dispose of produced water in underground wells, which are designed and permitted to place the water into deep geologic formations, isolated from fresh water sources. However, because some states have become concerned that the disposal of produced water could, under certain circumstances, contribute to seismicity, they have adopted or are considering adopting additional regulations governing such disposal. We currently do not utilize underground injection in our operations.</w:t>
      </w:r>
    </w:p>
    <w:p>
      <w:pPr>
        <w:pStyle w:val="TextBody"/>
        <w:bidi w:val="0"/>
        <w:spacing w:before="0" w:after="120"/>
        <w:jc w:val="left"/>
        <w:rPr>
          <w:rFonts w:ascii="Times New Roman" w:hAnsi="Times New Roman"/>
          <w:sz w:val="20"/>
        </w:rPr>
      </w:pPr>
      <w:r>
        <w:rPr>
          <w:rFonts w:ascii="Times New Roman" w:hAnsi="Times New Roman"/>
          <w:i/>
          <w:color w:val="000000"/>
          <w:sz w:val="20"/>
        </w:rPr>
        <w:t xml:space="preserve">Hydraulic fracturing. </w:t>
      </w:r>
      <w:r>
        <w:rPr>
          <w:rFonts w:ascii="Times New Roman" w:hAnsi="Times New Roman"/>
          <w:color w:val="000000"/>
          <w:sz w:val="20"/>
        </w:rPr>
        <w:t xml:space="preserve">Hydraulic fracturing, which has been used by the industry for over 60 years, is an important and common practice to stimulate production of natural gas and/or oil from dense subsurface rock formations. The hydraulic fracturing process involves the injection of water, sand and chemicals under pressure into targeted subsurface formations to fracture the surrounding rock and stimulate production. We routinely apply hydraulic fracturing techniques as part of our operations. This process is typically regulated by state environmental agencies and oil and natural gas commissions; however, several federal agencies have asserted regulatory authority over certain aspects of the process. For example, the EPA has issued final regulations under the Clean Air Act (as defined below) governing performance standards, including standards for the capture of air emissions released during hydraulic fracturing; proposed effluent limit guidelines that wastewater from shale gas extraction operations must meet before discharging to a treatment plant; and issued in a prepublication of its Advance Notice of Proposed Rulemaking regarding Toxic Substances Control Act reporting of the chemical substances and mixtures used in hydraulic fracturing in May 2014. Additionally, while the Federal Bureau of Land Management released a final rule setting forth disclosure requirements and other regulatory mandates for hydraulic fracturing on federal lands in March 2015, on December 29, 2017, the United States Department of the Interior - Bureau of Land Management rescinded the 2015 rule that would have set new environmental limitations on hydraulic fracturing, or fracking, on public lands because it believed the 2015 rule imposed administrative burdens and compliance costs that were not justified. Moreover, from time to time, Congress has considered adopting legislation intended to provide for federal regulation of hydraulic fracturing and to require disclosure of the chemicals used in the hydraulic fracturing process. In addition to any actions by Congress, certain states in which we operate, including Pennsylvania, have adopted, and other states are considering adopting, regulations imposing or that could impose new or more stringent permitting, public disclosure or well construction requirements on hydraulic fracturing operations. For example, in November 2023, Pennsylvania Governor Josh Shapiro instructed the Pennsylvania Department of Environmental Protection ("DEP") to take immediate action to pursue formal rulemaking and policy changes, including new requirements for the disclosure of chemicals used in drilling, improved control of methane emissions aligned with federal policy, stronger drilling waste protections (including inspection of secondary containment) and corrosion protections for gathering lines that transport natural gas. As a result, in January 2024, the DEP announced that it would implement a policy requiring natural gas well operators to disclose chemicals they use in drilling and hydraulic fracturing operations before the chemicals are used on-site. Certain states and political subdivisions have prohibited hydraulic fracturing. Range currently does not have operations in any of those states or political subdivisions. If new or more stringent federal, state or local legal restrictions relating to the hydraulic fracturing process are adopted in areas where we currently, or in the future plan to operate, we may incur additional, more significant, costs to comply with such requirements. As a result, we could also become subject to additional permitting requirements, new setback distances (see below </w:t>
      </w:r>
      <w:r>
        <w:rPr>
          <w:rFonts w:ascii="Times New Roman" w:hAnsi="Times New Roman"/>
          <w:i/>
          <w:color w:val="000000"/>
          <w:sz w:val="20"/>
        </w:rPr>
        <w:t>Land Use and Setbacks</w:t>
      </w:r>
      <w:r>
        <w:rPr>
          <w:rFonts w:ascii="Times New Roman" w:hAnsi="Times New Roman"/>
          <w:color w:val="000000"/>
          <w:sz w:val="20"/>
        </w:rPr>
        <w:t xml:space="preserve"> section) or experience added delays or curtailment in the pursuit of exploration, development, or production activities.</w:t>
      </w:r>
    </w:p>
    <w:p>
      <w:pPr>
        <w:pStyle w:val="TextBody"/>
        <w:bidi w:val="0"/>
        <w:spacing w:before="60" w:after="180"/>
        <w:jc w:val="left"/>
        <w:rPr>
          <w:rFonts w:ascii="Times New Roman" w:hAnsi="Times New Roman"/>
          <w:color w:val="000000"/>
          <w:sz w:val="20"/>
        </w:rPr>
      </w:pPr>
      <w:r>
        <w:rPr>
          <w:rFonts w:ascii="Times New Roman" w:hAnsi="Times New Roman"/>
          <w:color w:val="000000"/>
          <w:sz w:val="20"/>
        </w:rPr>
        <w:t xml:space="preserve">We believe that our hydraulic fracturing activities follow applicable industry practices and legal requirements for groundwater protection and that our hydraulic fracturing operations have not resulted in material environmental liabilities. We do not maintain insurance policies intended to provide coverage for losses solely related to hydraulic fracturing operations; however, we believe our existing insurance policies would cover any alleged third-party bodily injury and property damage caused by hydraulic fracturing including sudden and accidental pollution coverage. </w:t>
      </w:r>
    </w:p>
    <w:p>
      <w:pPr>
        <w:pStyle w:val="TextBody"/>
        <w:bidi w:val="0"/>
        <w:spacing w:before="0" w:after="180"/>
        <w:jc w:val="left"/>
        <w:rPr>
          <w:rFonts w:ascii="Times New Roman" w:hAnsi="Times New Roman"/>
          <w:sz w:val="20"/>
        </w:rPr>
      </w:pPr>
      <w:r>
        <w:rPr>
          <w:rFonts w:ascii="Times New Roman" w:hAnsi="Times New Roman"/>
          <w:i/>
          <w:color w:val="000000"/>
          <w:sz w:val="20"/>
        </w:rPr>
        <w:t xml:space="preserve">Air emissions. </w:t>
      </w:r>
      <w:r>
        <w:rPr>
          <w:rFonts w:ascii="Times New Roman" w:hAnsi="Times New Roman"/>
          <w:color w:val="000000"/>
          <w:sz w:val="20"/>
        </w:rPr>
        <w:t xml:space="preserve">The Clean Air Act of 1963, as amended (the “Clean Air Act”) and comparable state laws restrict the emission of air pollutants from many sources. These laws and implementing regulations may require us to obtain pre-approval for the construction or modification of certain projects or facilities expected to produce air emissions, impose stringent air permit requirements, or use specified equipment or technologies to control emissions. We may be required to incur certain capital expenditures for air pollution control equipment in connection with maintaining or obtaining operating permits and approvals for emissions of pollutants. For example, effective December 10, 2022, the DEP adopted heightened permitting conditions for newly permitted or modified natural gas compressor stations, processing plants and transmission stations to regulate greenhouse gas emissions on such sites. Then, on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December 2, 2023, the EPA released a final rule on the New Source Performance Standards (“NSPS”) to reduce emissions of methane and other air pollution from oil and natural gas operations. Among other things, the final rule (i) requires states to reduce methane emissions from hundreds of thousands of existing sources nationwide for the first time, (ii) phases out routine flaring from natural gas wells, (iii) requires the deployment of innovative and advanced monitoring technologies by establishing performance requirements that can be met by a broader array of technologies, (iv) leverages data collected by certified third parties to identify and address “super emitting” sources and eliminate or minimize emissions from common pieces of equipment used in oil and gas operations such as process controllers, pumps and storage tanks and (v) requires proper documentation that wells are properly closed and plugged before monitoring is allowed to end. In response to public comments, the EPA adjusted several provisions of the proposed rule to allow extended time for compliance including a two-year phase-in period for eliminating routine flaring of natural gas emitted from new oil wells. Further, in May 2024, the EPA finalized amendments to rules in the Petroleum and Natural Gas Systems source category (subpart W) of the Greenhouse Gas Reporting Program. The final amendments are comprised of four parts intended to (i) address potential gaps in reporting of emissions data for specific sectors so that the reporting under subpart W reflects total methane emissions from applicable facilities, (ii) add new emissions-calculation methodologies based on empirical data, (iii) improve transparency of the data collected, and (iv) make technical clarifications and corrections. These amendments had a phased-in implementation schedule, with certain provisions becoming effective in July 2024 and the remainder effective January 1, 2025. However, on September 16, 2025, the EPA proposed a rule to suspend greenhouse gas reporting under subpart W until 2034. The amendments to subpart W and the finalization of the EPA proposed rule to suspend greenhouse gas reporting may impact our future greenhouse gas emissions reported to the EPA.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Also, as part of the Inflation Reduction Act of 2022, Congress amended the Clean Air Act to create the Methane Emissions Reduction Program and Congress directed the EPA to collect a waste emissions charge on waste emissions of methane from certain oil and gas facilities. In November 2024, the EPA finalized a rule to facilitate implementation of calculation procedures, flexibilities, and exemptions related to the waste emissions charge, which applies to petroleum and natural gas facilities that emit more than 25,000 metric tons of carbon dioxide equivalent per year as reported under the amended subpart W of the Greenhouse Gas Reporting Program and that are not otherwise exempt. However, in May 2025, a joint resolution by the United States Congress and President Trump became effective revoking the November 2024 EPA rule related to waste-emissions charges and the legislation commonly known as the One Big Beautiful Bill Act ("OBBBA") postponed any implementation of a waste emissions charge until 2034.</w:t>
      </w:r>
    </w:p>
    <w:p>
      <w:pPr>
        <w:pStyle w:val="TextBody"/>
        <w:bidi w:val="0"/>
        <w:jc w:val="left"/>
        <w:rPr>
          <w:rFonts w:ascii="Times New Roman" w:hAnsi="Times New Roman"/>
          <w:color w:val="000000"/>
          <w:sz w:val="20"/>
        </w:rPr>
      </w:pPr>
      <w:r>
        <w:rPr>
          <w:rFonts w:ascii="Times New Roman" w:hAnsi="Times New Roman"/>
          <w:color w:val="000000"/>
          <w:sz w:val="20"/>
        </w:rPr>
        <w:t>Finally, in November 2025, the EPA issued an interim final rule extending certain near</w:t>
        <w:noBreakHyphen/>
        <w:t>term compliance deadlines under the 2023 methane rules for the oil and natural gas sector (including requirements applicable to new sources under the NSPS and to existing sources under state implementation of emissions guidelines). The interim extensions are intended to provide additional time for regulated parties and states to implement monitoring, control, and reporting provisions while the EPA finalizes related guidance and program elements. These timing adjustments do not eliminate underlying obligations but may shift the phasing of compliance activities and expenditures for applicable facilities.</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Compliance with these or any similar subsequently enacted regulatory initiatives could directly impact us by requiring installation of new emission controls on some of our equipment, resulting in the need for additional permitting and introducing potential permitting delays and increasing our capital expenditures and operating costs, which could adversely impact our business.</w:t>
      </w:r>
    </w:p>
    <w:p>
      <w:pPr>
        <w:pStyle w:val="TextBody"/>
        <w:bidi w:val="0"/>
        <w:spacing w:before="0" w:after="180"/>
        <w:jc w:val="left"/>
        <w:rPr>
          <w:rFonts w:ascii="Times New Roman" w:hAnsi="Times New Roman"/>
          <w:sz w:val="20"/>
        </w:rPr>
      </w:pPr>
      <w:r>
        <w:rPr>
          <w:rFonts w:ascii="Times New Roman" w:hAnsi="Times New Roman"/>
          <w:i/>
          <w:color w:val="000000"/>
          <w:sz w:val="20"/>
        </w:rPr>
        <w:t>Climate change.</w:t>
      </w:r>
      <w:r>
        <w:rPr>
          <w:rFonts w:ascii="Times New Roman" w:hAnsi="Times New Roman"/>
          <w:color w:val="000000"/>
          <w:sz w:val="20"/>
        </w:rPr>
        <w:t xml:space="preserve"> In 2009, the EPA published its findings that emissions of carbon dioxide, methane and other greenhouse gases (“GHGs”) present a danger to public health and the environment because emissions of such gases were, according to the EPA, contributing to warming of the Earth’s atmosphere and other climatic conditions. Based on these findings, the EPA adopted regulations under the existing Clean Air Act establishing Title V and Prevention of Significant Deterioration (“PSD”) permitting reviews for GHG emissions from certain large stationary sources that already are potential major sources of certain principal, or criteria, pollutant emissions. We could become subject to these Title V and PSD permitting reviews and be required to install the best available control technology to limit emissions of GHGs from any new or significantly modified facilities that we may seek to construct in the future if such facilities emitted volumes of GHGs in excess of threshold permitting levels. The EPA has also adopted rules requiring the reporting of GHG emissions from specified emission sources in the United States on an annual basis, including certain oil and natural gas production facilities, which include several of our facilities. We believe that our monitoring activities and reporting are in substantial compliance with applicable obligations.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Congress has from time to time considered legislation to reduce emissions of GHGs and there have been a number of federal regulatory initiatives to address GHG emissions in recent years, such as the establishing of Title V and PSD permitting reviews for GHG emissions, as described in more detail above. For example, Congress enacted the Inflation Reduction Act of 2022 which, among other things, adopted a waste emissions charge to be assessed against oil and gas operators. As noted above, this charge has been postponed by later legislative action, but it is possible that such charges become applicable in the future.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Although it is not possible at this time to predict how legislation or new regulations that may be adopted to address GHG emissions would impact our business, any such future federal or state laws and regulations or international compacts could require us to incur increased operating costs, such as costs to purchase and operate emissions control systems, to acquire emission allowances or comply with new regulatory or reporting requirements. On an international level, the United States was one of almost 200 nations that,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in December 2015, agreed to an international climate change agreement in Paris, France (“Paris Agreement”) that calls for countries to set their own GHG emissions targets and be transparent about the measures each country will use to achieve its GHG emissions targets, which agreement formally entered into force on November 4, 2016. The United States formally accepted that agreement in September 2016. In January 2025, President Trump signed an executive order directing the United States to withdraw from the Paris Agreement, which withdrawal became effective in January 2026. It is not yet clear how withdrawal from the Paris Agreement or any separately negotiated agreement could impact us.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President Biden issued numerous executive orders during his administration directing the administration’s approach to addressing climate change, including executive orders related to rulemakings, prioritizing climate change, revoking prior executive orders, and addressing leasing for oil and gas production on federal lands. Upon taking office in January 2025, President Trump issued a series of executive orders not only revoking the previously referenced executive orders issued by President Biden, but also setting the policy direction for energy development for President Trump’s administration – including pausing disbursement of funds under the Inflation Reduction Act and the Infrastructure Investment and Jobs Act, directing heads of executive departments and agencies to identify and exercise emergency authority to advance domestic energy resources, restarting reviews and approvals of liquefied natural gas export projects, pausing still ongoing Executive Branch rulemakings, and to begin to streamline energy permitting processes. Range will continue to monitor the effects, if any, of these and any future executive orders issued by President Trump, as well as any related congressional actions, on Range's operations.</w:t>
      </w:r>
    </w:p>
    <w:p>
      <w:pPr>
        <w:pStyle w:val="TextBody"/>
        <w:bidi w:val="0"/>
        <w:jc w:val="left"/>
        <w:rPr>
          <w:rFonts w:ascii="Times New Roman" w:hAnsi="Times New Roman"/>
          <w:color w:val="000000"/>
          <w:sz w:val="20"/>
        </w:rPr>
      </w:pPr>
      <w:r>
        <w:rPr>
          <w:rFonts w:ascii="Times New Roman" w:hAnsi="Times New Roman"/>
          <w:color w:val="000000"/>
          <w:sz w:val="20"/>
        </w:rPr>
        <w:t xml:space="preserve">Finally, it should be noted that some scientists have concluded that increasing concentrations of GHGs in the Earth’s atmosphere may produce climate changes that have significant physical effects, such as increased frequency and severity of storms, droughts, floods and other climatic events. If any such effects were to occur, they could have an adverse effect on our financial condition and results of operations.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We believe we are in substantial compliance with currently applicable environmental laws and regulations. Although we have not experienced any material adverse effect from compliance with environmental requirements, there is no assurance that this will continue. We did not have any material capital or other non-recurring expenditures in connection with complying with environmental laws or environmental remediation matters in 2025, nor do we anticipate that such expenditures will be material in 2026. However, we regularly incur expenditures and undertake projects to comply with environmental laws and to optimize our emissions performance. We anticipate those costs will continue to be incurred in the future. </w:t>
      </w:r>
    </w:p>
    <w:p>
      <w:pPr>
        <w:pStyle w:val="TextBody"/>
        <w:bidi w:val="0"/>
        <w:spacing w:before="0" w:after="180"/>
        <w:jc w:val="left"/>
        <w:rPr>
          <w:rFonts w:ascii="Times New Roman" w:hAnsi="Times New Roman"/>
          <w:sz w:val="20"/>
        </w:rPr>
      </w:pPr>
      <w:r>
        <w:rPr>
          <w:rFonts w:ascii="Times New Roman" w:hAnsi="Times New Roman"/>
          <w:i/>
          <w:color w:val="000000"/>
          <w:sz w:val="20"/>
        </w:rPr>
        <w:t xml:space="preserve">Occupational health and safety. </w:t>
      </w:r>
      <w:r>
        <w:rPr>
          <w:rFonts w:ascii="Times New Roman" w:hAnsi="Times New Roman"/>
          <w:color w:val="000000"/>
          <w:sz w:val="20"/>
        </w:rPr>
        <w:t xml:space="preserve">We are also subject to the requirements of the federal Occupational Safety and Health Act, as amended ("OSHA"), and comparable state laws that regulate the protection of the health and safety of employees. In addition, OSHA’s hazard communication standard requires that information be maintained about hazardous materials used or produced in our operations and that this information be provided to employees, state and local government authorities and citizens. We believe that our operations are in substantial compliance with the OSHA requirements. </w:t>
      </w:r>
    </w:p>
    <w:p>
      <w:pPr>
        <w:pStyle w:val="TextBody"/>
        <w:bidi w:val="0"/>
        <w:spacing w:before="0" w:after="180"/>
        <w:jc w:val="left"/>
        <w:rPr>
          <w:rFonts w:ascii="Times New Roman" w:hAnsi="Times New Roman"/>
          <w:sz w:val="20"/>
        </w:rPr>
      </w:pPr>
      <w:r>
        <w:rPr>
          <w:rFonts w:ascii="Times New Roman" w:hAnsi="Times New Roman"/>
          <w:i/>
          <w:color w:val="000000"/>
          <w:sz w:val="20"/>
        </w:rPr>
        <w:t>Endangered Species Act</w:t>
      </w:r>
      <w:r>
        <w:rPr>
          <w:rFonts w:ascii="Times New Roman" w:hAnsi="Times New Roman"/>
          <w:color w:val="000000"/>
          <w:sz w:val="20"/>
        </w:rPr>
        <w:t>. The Endangered Species Act of 1973 (“ESA”) and related state laws and regulations protect plant and animal species that are threatened or endangered. Some of our operations are located in areas that are or may be designated as protected habitats for endangered or threatened species, including the Northern Long-Eared and Indiana bats, which have a seasonal impact on our construction activities and operations. The designation of previously unprotected species as threatened or endangered, or redesignation of a threatened species as endangered, in areas where our operations are conducted could cause us to incur increased costs arising from species protection measures or could result in limitation of our exploration and production activities that could have an adverse impact on our ability to develop and produce reserves. If we were to have a portion of our leases designated as critical or suitable habitat, it could adversely impact the value of our leases.</w:t>
      </w:r>
    </w:p>
    <w:p>
      <w:pPr>
        <w:pStyle w:val="TextBody"/>
        <w:bidi w:val="0"/>
        <w:jc w:val="left"/>
        <w:rPr>
          <w:rFonts w:ascii="Times New Roman" w:hAnsi="Times New Roman"/>
          <w:sz w:val="20"/>
        </w:rPr>
      </w:pPr>
      <w:r>
        <w:rPr>
          <w:rFonts w:ascii="Times New Roman" w:hAnsi="Times New Roman"/>
          <w:i/>
          <w:color w:val="000000"/>
          <w:sz w:val="20"/>
        </w:rPr>
        <w:t xml:space="preserve">Land Use and Setbacks. </w:t>
      </w:r>
      <w:r>
        <w:rPr>
          <w:rFonts w:ascii="Times New Roman" w:hAnsi="Times New Roman"/>
          <w:color w:val="000000"/>
          <w:sz w:val="20"/>
        </w:rPr>
        <w:t xml:space="preserve">Local governments or political subdivisions may seek to adopt ordinances within their jurisdiction regulating the location of drilling and/or hydraulic fracturing activities. Certain states and political subdivisions have imposed setbacks that may limit where drilling and hydraulic fracturing can take place. For instance, in November 2024, Cecil Township, located in Washington County, Pennsylvania increased the setback distance for oil and gas operations from 500 feet to 2,500 feet from protected structures like residences and businesses and 5,000 feet from schools and hospitals, which eliminates future oil and gas operations on new well pads in the Township. Following adoption of the Cecil Township ordinance, we challenged the ordinance’s expanded setback provisions before the Township Zoning Hearing Board. However, the Township Zoning Hearing Board subsequently dismissed our challenge, after which we filed an appeal with the Washington County Court of Common Pleas. These proceedings remain pending and we cannot predict their timing or outcome, which could inform how other municipalities consider similar measures. See also, Item 1A. Risk Factors, </w:t>
      </w:r>
      <w:r>
        <w:rPr>
          <w:rFonts w:ascii="Times New Roman" w:hAnsi="Times New Roman"/>
          <w:i/>
          <w:color w:val="000000"/>
          <w:sz w:val="20"/>
        </w:rPr>
        <w:t>Risks related to our operations</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sz w:val="20"/>
        </w:rPr>
      </w:pPr>
      <w:bookmarkStart w:id="24" w:name="risk_factors"/>
      <w:bookmarkEnd w:id="24"/>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While we utilize robust processes and resources to identify and manage risks, we are subject to various risks and uncertainties in the course of our business, some of which are comparable to the risks any business is exposed to and some that are unique to our operations. The following summarizes the known material risks and uncertainties that may adversely affect our business, financial condition or results of operations. When considering making or maintaining an investment in our securities, you should carefully consider the risk factors included below as well as those matters referenced in the section entitled Disclosures Regarding Forward-Looking Statements and other information included and incorporated by reference into this Annual Report on Form 10-K. These risks are not the only risks we face. Our business could also be impacted by additional risks and uncertainties not currently known to us or that we believe not to be material based on the information we have at this time. If any of the events described below as risks actually occur, it could materially harm our business, financial condition or results of operations or impair our ability to implement our business plans or complete development activities as expected. In that case, the market price of our common stock could decline or, if severe enough, the entire value of an investment in our securities could become worthless.</w:t>
      </w:r>
    </w:p>
    <w:p>
      <w:pPr>
        <w:pStyle w:val="TextBody"/>
        <w:bidi w:val="0"/>
        <w:spacing w:before="0" w:after="180"/>
        <w:jc w:val="left"/>
        <w:rPr>
          <w:rFonts w:ascii="Times New Roman" w:hAnsi="Times New Roman"/>
          <w:sz w:val="20"/>
        </w:rPr>
      </w:pPr>
      <w:r>
        <w:rPr>
          <w:rFonts w:ascii="Times New Roman" w:hAnsi="Times New Roman"/>
          <w:b/>
          <w:color w:val="000000"/>
          <w:sz w:val="20"/>
        </w:rPr>
        <w:t>Economic risks related to our business</w:t>
      </w:r>
      <w:r>
        <w:rPr>
          <w:rFonts w:ascii="Times New Roman" w:hAnsi="Times New Roman"/>
          <w:color w:val="000000"/>
          <w:sz w:val="20"/>
        </w:rPr>
        <w:t xml:space="preserve"> </w:t>
      </w:r>
    </w:p>
    <w:p>
      <w:pPr>
        <w:pStyle w:val="TextBody"/>
        <w:bidi w:val="0"/>
        <w:spacing w:before="0" w:after="180"/>
        <w:jc w:val="left"/>
        <w:rPr>
          <w:rFonts w:ascii="Times New Roman" w:hAnsi="Times New Roman"/>
          <w:sz w:val="20"/>
        </w:rPr>
      </w:pPr>
      <w:r>
        <w:rPr>
          <w:rFonts w:ascii="Times New Roman" w:hAnsi="Times New Roman"/>
          <w:b/>
          <w:i/>
          <w:color w:val="000000"/>
          <w:sz w:val="20"/>
        </w:rPr>
        <w:t xml:space="preserve">Volatility of natural gas, NGLs and oil prices affects our cash flow and capital resources and could significantly hamper our ability to operate economically. </w:t>
      </w:r>
      <w:r>
        <w:rPr>
          <w:rFonts w:ascii="Times New Roman" w:hAnsi="Times New Roman"/>
          <w:color w:val="000000"/>
          <w:sz w:val="20"/>
        </w:rPr>
        <w:t xml:space="preserve">Natural gas, NGLs and oil prices are volatile, and a decline in prices could adversely affect our profitability and financial condition. As a commodity business, the oil and gas industry is typically cyclical and we expect the volatility to continue. Natural gas prices are likely to affect us the most because approximately 65% of our proved reserves were natural gas as of December 31, 2025 and, at times in the past, natural gas prices have been low compared to our costs to produce. Natural gas, NGLs and oil prices fluctuate in response to changes in supply and demand, market uncertainty and other factors that are beyond our control. These factors include: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events that impact domestic and foreign supply of, and demand for, natural gas, NGLs and oil;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continued operation of export facilities to supply foreign markets with natural gas and natural gas liquids and the ability to transport the product to markets due to shipping restrictions, armed conflict or terrorist threats and attacks;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changes in weather patterns and events, including natural disasters such as hurricanes, floods, wildfires and tornadoes;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technological advances affecting energy consumption, storage and energy supply;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production levels of non-OPEC countries, including production levels in the United States’ shale plays;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general economic conditions worldwide;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price and availability of, and demand for, alternative and competing forms of energy, such as nuclear, geothermal, hydroelectric, wind and solar;</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level of drilling, completion and production activities by other companies, and variability therein, in response to market conditions;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ability of the members of OPEC and other exporting nations to agree to and comply with production controls;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military, economic and political conditions in natural gas, NGLs and oil producing regions;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cost of exploring for, developing, producing, transporting and marketing natural gas, NGLs and oil;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domestic (federal, state and local) and foreign governmental regulations, sanctions, tariffs and taxation, including further legislation requiring, subsidizing or providing tax benefits for the use of alternative energy sources and fuels. </w:t>
      </w:r>
    </w:p>
    <w:p>
      <w:pPr>
        <w:pStyle w:val="TextBody"/>
        <w:bidi w:val="0"/>
        <w:spacing w:before="60" w:after="180"/>
        <w:jc w:val="left"/>
        <w:rPr>
          <w:rFonts w:ascii="Times New Roman" w:hAnsi="Times New Roman"/>
          <w:color w:val="000000"/>
          <w:sz w:val="20"/>
        </w:rPr>
      </w:pPr>
      <w:r>
        <w:rPr>
          <w:rFonts w:ascii="Times New Roman" w:hAnsi="Times New Roman"/>
          <w:color w:val="000000"/>
          <w:sz w:val="20"/>
        </w:rPr>
        <w:t xml:space="preserve">The long-term effects of these and other factors on the prices of natural gas, NGLs and oil prices are uncertain. Historical declines in natural gas, NGLs and oil commodity prices have adversely affected our business by: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reducing the amount of natural gas, NGLs and oil that we can economically produce;</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reducing our revenues, operating income and cash flows;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reducing the amount of cash flows available for capital expenditures;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increasing the cost of obtaining capital, such as equity and debt financings;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reducing the standardized measure of discounted future net cash flows relating to natural gas, NGLs and oil.</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sz w:val="20"/>
        </w:rPr>
      </w:pPr>
      <w:r>
        <w:rPr>
          <w:rFonts w:ascii="Times New Roman" w:hAnsi="Times New Roman"/>
          <w:b/>
          <w:i/>
          <w:color w:val="000000"/>
          <w:sz w:val="20"/>
        </w:rPr>
        <w:t xml:space="preserve">If demand for natural gas, NGLs and oil is reduced, the prices we receive for and our ability to market and produce our natural gas, NGLs and oil may be negatively affected. </w:t>
      </w:r>
      <w:r>
        <w:rPr>
          <w:rFonts w:ascii="Times New Roman" w:hAnsi="Times New Roman"/>
          <w:color w:val="000000"/>
          <w:sz w:val="20"/>
        </w:rPr>
        <w:t xml:space="preserve">Volatility in natural gas, NGLs and oil markets and the price we receive for our production is largely determined by various factors beyond our control. Production from natural gas and oil wells in some geographic areas of the United States has been or could be curtailed for considerable periods of time due to lack of local market demand and transportation and storage capacity. In the recent past, we have temporarily shut-in wells due to low commodity prices and it is possible that some of our wells may be shut-in in the future or sales terms may be less favorable than might otherwise be obtained should demand for our products decrease and/or prices decrease. Competition for markets has been vigorous and there remains uncertainty about prices purchasers will pay or the availability of sufficient storage, all of which could have a material adverse effect on our cash flows, results of operations and financial position. </w:t>
      </w:r>
    </w:p>
    <w:p>
      <w:pPr>
        <w:pStyle w:val="TextBody"/>
        <w:bidi w:val="0"/>
        <w:spacing w:before="0" w:after="180"/>
        <w:jc w:val="left"/>
        <w:rPr>
          <w:rFonts w:ascii="Times New Roman" w:hAnsi="Times New Roman"/>
          <w:sz w:val="20"/>
        </w:rPr>
      </w:pPr>
      <w:r>
        <w:rPr>
          <w:rFonts w:ascii="Times New Roman" w:hAnsi="Times New Roman"/>
          <w:b/>
          <w:i/>
          <w:color w:val="000000"/>
          <w:sz w:val="20"/>
        </w:rPr>
        <w:t>We could experience periods of higher costs. These cost increases could reduce our profitability, cash flow and ability to conduct development activities as planned</w:t>
      </w:r>
      <w:r>
        <w:rPr>
          <w:rFonts w:ascii="Times New Roman" w:hAnsi="Times New Roman"/>
          <w:color w:val="000000"/>
          <w:sz w:val="20"/>
        </w:rPr>
        <w:t>. We rely on third-party contractors to provide key services and equipment for our operations. Historically, our capital and operating costs have risen during periods of increasing natural gas, NGLs and oil prices. These cost increases result from a variety of factors beyond our control, such as increases in the cost of electricity, steel and other raw materials that we and our vendors rely upon; increased demand for labor, services and materials as drilling and completions activity increases; tariffs on foreign goods; and increased taxes. Increased levels of drilling activity in the natural gas, NGLs and oil industry could lead to increased costs of some drilling equipment, materials and supplies. Such costs may rise faster than increases in our revenue, thereby negatively impacting our profitability, cash flow and ability to conduct development activities as planned and on budget.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Based on the cost inflation pressure experienced over the last few years, we continue to undertake actions and implement plans to strengthen our supply chain. Nevertheless, we expect to experience some supply chain constraints and inflationary pressure on our cost structure including steel, fuel and labor, among other items, for the foreseeable future. By continuing to focus on cost control initiatives and actions, which increase our drilling, completion and operating efficiencies, we may be able to mitigate some inflationary pressures in the future.</w:t>
      </w:r>
    </w:p>
    <w:p>
      <w:pPr>
        <w:pStyle w:val="TextBody"/>
        <w:bidi w:val="0"/>
        <w:spacing w:before="0" w:after="180"/>
        <w:jc w:val="left"/>
        <w:rPr>
          <w:rFonts w:ascii="Times New Roman" w:hAnsi="Times New Roman"/>
          <w:sz w:val="20"/>
        </w:rPr>
      </w:pPr>
      <w:r>
        <w:rPr>
          <w:rFonts w:ascii="Times New Roman" w:hAnsi="Times New Roman"/>
          <w:b/>
          <w:i/>
          <w:color w:val="000000"/>
          <w:sz w:val="20"/>
        </w:rPr>
        <w:t>Competition in the oil and gas industry is intense, making it more difficult for us to acquire properties, market products and secure and retain trained personnel.</w:t>
      </w:r>
      <w:r>
        <w:rPr>
          <w:rFonts w:ascii="Times New Roman" w:hAnsi="Times New Roman"/>
          <w:color w:val="000000"/>
          <w:sz w:val="20"/>
        </w:rPr>
        <w:t xml:space="preserve"> Our ability to acquire additional drilling locations and to find and develop reserves in the future will depend on our ability to evaluate and select suitable properties and to consummate transactions in a highly competitive environment for acquiring properties, marketing products and securing equipment and trained personnel. Also, there is substantial competition for capital available for investment in the oil and natural gas industry. Many of our competitors possess and employ financial, technical and personnel resources substantially greater than ours. Those companies may be able to pay more for productive natural gas properties and exploratory drilling locations and to evaluate, bid for and purchase a greater number of properties and prospects than our financial or personnel resources permit. </w:t>
      </w:r>
    </w:p>
    <w:p>
      <w:pPr>
        <w:pStyle w:val="TextBody"/>
        <w:bidi w:val="0"/>
        <w:jc w:val="left"/>
        <w:rPr>
          <w:rFonts w:ascii="Times New Roman" w:hAnsi="Times New Roman"/>
          <w:color w:val="000000"/>
          <w:sz w:val="20"/>
        </w:rPr>
      </w:pPr>
      <w:r>
        <w:rPr>
          <w:rFonts w:ascii="Times New Roman" w:hAnsi="Times New Roman"/>
          <w:color w:val="000000"/>
          <w:sz w:val="20"/>
        </w:rPr>
        <w:t>None of our senior management team nor any of our other officers are subject to an employment agreement and therefore retaining them as employees is less certain than if they were parties to an employment agreement. The unanticipated loss of one or more of these individuals could have a material adverse effect on our business. Further, the loss of key technical professionals with extensive experience in our core operating area could be difficult to replace if they were to leave and the loss of such employees could adversely affect the costs of drilling, completing and operating our wells. In addition, other companies may be able to offer better compensation packages to attract and retain qualified personnel than we are able to offer. The cost to attract and retain qualified personnel may increase substantially in the future. We may not be able to successfully compete in the future in acquiring prospective reserves, developing reserves, marketing hydrocarbons, attracting and retaining trained personnel and raising additional capital, which could have a material adverse effect on our business.</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sz w:val="20"/>
        </w:rPr>
      </w:pPr>
      <w:r>
        <w:rPr>
          <w:rFonts w:ascii="Times New Roman" w:hAnsi="Times New Roman"/>
          <w:b/>
          <w:i/>
          <w:color w:val="000000"/>
          <w:sz w:val="20"/>
        </w:rPr>
        <w:t>Our debt obligations may limit our liquidity and financial flexibility</w:t>
      </w:r>
      <w:r>
        <w:rPr>
          <w:rFonts w:ascii="Times New Roman" w:hAnsi="Times New Roman"/>
          <w:color w:val="000000"/>
          <w:sz w:val="20"/>
        </w:rPr>
        <w:t xml:space="preserve">. We are a borrower under fixed rate senior notes and maintain a floating rate bank credit facility which had $118.0 million of borrowings as of December 31, 2025. Our exploration and development program requires substantial capital resources depending on the level of drilling and the expected cost of services. Existing operations also require ongoing capital expenditures. Increases in our level of debt may: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require us to dedicate a greater portion of our cash flows from operations to the payment of our indebtedness, reducing the funds available for our operations or return of capital to stockholders;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make us vulnerable to increases in interest rates;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increase our vulnerability to a downturn in commodity prices or the general economy;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place us at a competitive disadvantage compared to our competitors with lower debt service obligations;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limit our operating flexibility due to financial and other restrictive covenants;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limit our flexibility to maintain or grow our business and plan for, or react to, changes in our business and the industry in which we operate;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limit or prevent our ability to pay dividends and other restricted payments (as defined in our bank credit facility). </w:t>
      </w:r>
    </w:p>
    <w:p>
      <w:pPr>
        <w:pStyle w:val="TextBody"/>
        <w:bidi w:val="0"/>
        <w:spacing w:before="60" w:after="180"/>
        <w:jc w:val="left"/>
        <w:rPr>
          <w:rFonts w:ascii="Times New Roman" w:hAnsi="Times New Roman"/>
          <w:color w:val="000000"/>
          <w:sz w:val="20"/>
        </w:rPr>
      </w:pPr>
      <w:r>
        <w:rPr>
          <w:rFonts w:ascii="Times New Roman" w:hAnsi="Times New Roman"/>
          <w:color w:val="000000"/>
          <w:sz w:val="20"/>
        </w:rPr>
        <w:t>Historically, we have funded our capital expenditures through a combination of cash flow from operations and our bank credit facility and, in limited circumstances, debt and equity issuances. We have also engaged in asset monetization transactions. Future cash flows are subject to a number of variables, such as the level of production from existing wells, prices of natural gas, NGLs and oil and our success in developing and producing our reserves. If our access to capital were limited as a result of various factors, which could include a decrease in revenues due to lower natural gas, NGLs and oil prices or decreased production or deterioration of the credit and capital markets, we would have a reduced ability to fund our operations and replace our reserves resulting in reduced financial flexibility.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amount available for borrowing under our bank credit facility is subject to a borrowing base, which is determined by our lenders, taking into account our estimated proved reserves and is subject to periodic re-determinations based on pricing models determined by the lenders at such time. Declines in natural gas, NGLs and oil prices adversely impact the value of our estimated proved reserves and, in turn, the market values used by our lenders to determine our borrowing base and could result in a determination to lower our borrowing base, reducing our financial flexibility.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Disruptions or volatility in the global finance markets may lead to a contraction in credit availability impacting our ability to finance our operations. We benefit from continued access to capital. A significant reduction in cash flows from operations or the availability of credit could materially and adversely affect our ability to conduct our planned operations, our ability to manage our debt maturities and our flexibility to react to changing economic and business conditions. We are also exposed to some credit risk related to our bank credit facility to the extent that one or more of our lenders experiences liquidity problems and is unable to provide necessary funding to us under our existing revolving line of credit. </w:t>
      </w:r>
    </w:p>
    <w:p>
      <w:pPr>
        <w:pStyle w:val="TextBody"/>
        <w:bidi w:val="0"/>
        <w:spacing w:before="0" w:after="180"/>
        <w:jc w:val="left"/>
        <w:rPr>
          <w:rFonts w:ascii="Times New Roman" w:hAnsi="Times New Roman"/>
          <w:sz w:val="20"/>
        </w:rPr>
      </w:pPr>
      <w:r>
        <w:rPr>
          <w:rFonts w:ascii="Times New Roman" w:hAnsi="Times New Roman"/>
          <w:b/>
          <w:i/>
          <w:color w:val="000000"/>
          <w:sz w:val="20"/>
        </w:rPr>
        <w:t>Any failure to meet our debt obligations could harm our business, financial condition and results of operations</w:t>
      </w:r>
      <w:r>
        <w:rPr>
          <w:rFonts w:ascii="Times New Roman" w:hAnsi="Times New Roman"/>
          <w:color w:val="000000"/>
          <w:sz w:val="20"/>
        </w:rPr>
        <w:t xml:space="preserve">. Our earnings and cash flow will fluctuate from year-to-year due to the variable nature of commodity prices. If our cash flow and capital resources are insufficient to fund our debt obligations, we may be forced to sell assets, seek equity sales or restructure our debt. Our ability to restructure our debt will depend on the condition of the capital markets and our financial condition at such time. Any restructuring of debt could be at higher interest rates and may require us to comply with more onerous covenants, which could further restrict our operations and our financial flexibility. The terms of existing or future debt instruments may restrict us from adopting some of these alternatives.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receive debt ratings from the major credit rating agencies in the United States. Factors that may impact our credit ratings include debt levels, planned asset purchases or sales and near-term and long-term cash flow relative to debt balances. Liquidity, asset quality, cost structure, product mix (natural gas, NGLs and oil) and projected commodity pricing levels are also considered by the rating agencies. A ratings downgrade could adversely impact our ability to access debt markets in the future, increase the cost of future debt and could require us to post letters of credit or other forms of collateral for certain obligations. We cannot provide assurance that our current ratings will remain in effect for any given period of time or that a rating will not be downgraded in the future.</w:t>
      </w:r>
    </w:p>
    <w:p>
      <w:pPr>
        <w:pStyle w:val="TextBody"/>
        <w:bidi w:val="0"/>
        <w:spacing w:before="0" w:after="180"/>
        <w:jc w:val="left"/>
        <w:rPr>
          <w:rFonts w:ascii="Times New Roman" w:hAnsi="Times New Roman"/>
          <w:sz w:val="20"/>
        </w:rPr>
      </w:pPr>
      <w:r>
        <w:rPr>
          <w:rFonts w:ascii="Times New Roman" w:hAnsi="Times New Roman"/>
          <w:b/>
          <w:i/>
          <w:color w:val="000000"/>
          <w:sz w:val="20"/>
        </w:rPr>
        <w:t>As a result of cross-default provisions in our borrowing arrangements, we may be unable to satisfy all of our outstanding obligations in the event of a default on our part.</w:t>
      </w:r>
      <w:r>
        <w:rPr>
          <w:rFonts w:ascii="Times New Roman" w:hAnsi="Times New Roman"/>
          <w:color w:val="000000"/>
          <w:sz w:val="20"/>
        </w:rPr>
        <w:t xml:space="preserve"> The terms of our senior indebtedness, including our revolving credit facility, contain cross-default provisions which provide that we will be in default under such agreements in the event of certain defaults under our indentures or other loan agreements. Accordingly, should an event of default above certain thresholds occur under any of those agreements, we face the prospect of being in default under all of our debt agreements, obligated in such instance to satisfy all of our outstanding indebtedness but in all probability unable to satisfy all of our outstanding obligations simultaneously. In such an event, we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might not be able to obtain alternative financing or, if we are able to obtain such financing, we might not be able to obtain it on terms acceptable to us, which would negatively affect our ability to continue our business plan, make capital expenditures and finance our operations.</w:t>
      </w:r>
    </w:p>
    <w:p>
      <w:pPr>
        <w:pStyle w:val="TextBody"/>
        <w:bidi w:val="0"/>
        <w:spacing w:before="0" w:after="180"/>
        <w:jc w:val="left"/>
        <w:rPr>
          <w:rFonts w:ascii="Times New Roman" w:hAnsi="Times New Roman"/>
          <w:sz w:val="20"/>
        </w:rPr>
      </w:pPr>
      <w:r>
        <w:rPr>
          <w:rFonts w:ascii="Times New Roman" w:hAnsi="Times New Roman"/>
          <w:b/>
          <w:i/>
          <w:color w:val="000000"/>
          <w:sz w:val="20"/>
        </w:rPr>
        <w:t>Derivative transactions may limit our potential gains and involve other risks</w:t>
      </w:r>
      <w:r>
        <w:rPr>
          <w:rFonts w:ascii="Times New Roman" w:hAnsi="Times New Roman"/>
          <w:color w:val="000000"/>
          <w:sz w:val="20"/>
        </w:rPr>
        <w:t xml:space="preserve">. To manage our exposure to commodity price volatility, we currently, and likely will in the future, enter into derivative arrangements, utilizing commodity derivatives ("hedges") with respect to a portion of our future production. Hedges are generally designed to lock in future prices for commodities to limit volatility and increase the predictability of cash flow. These hedging transactions can limit our potential gains if natural gas, NGLs and oil prices rise above the price established by the hedge. In addition, derivative transactions may expose us to the risk of financial loss in certain circumstances, including instances in which: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production is less than expected;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counterparties to our futures contracts fail to perform on their contract obligations; or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an event materially impacts natural gas, NGLs or oil prices or the relationship between the hedged price index and the natural gas, NGLs or oil sales prices we receive. </w:t>
      </w:r>
    </w:p>
    <w:p>
      <w:pPr>
        <w:pStyle w:val="TextBody"/>
        <w:bidi w:val="0"/>
        <w:spacing w:before="60" w:after="180"/>
        <w:jc w:val="left"/>
        <w:rPr>
          <w:rFonts w:ascii="Times New Roman" w:hAnsi="Times New Roman"/>
          <w:color w:val="000000"/>
          <w:sz w:val="20"/>
        </w:rPr>
      </w:pPr>
      <w:r>
        <w:rPr>
          <w:rFonts w:ascii="Times New Roman" w:hAnsi="Times New Roman"/>
          <w:color w:val="000000"/>
          <w:sz w:val="20"/>
        </w:rPr>
        <w:t xml:space="preserve">We cannot be certain that any derivative transaction we may enter into will adequately protect us from declines in the prices of natural gas, NGLs or oil. Furthermore, if we choose not to engage in derivative transactions in the future, we may be more adversely affected by decreases in natural gas, NGLs or oil prices than our competitors who utilize derivative transactions. Lower natural gas, NGLs and oil prices over a longer term will also negatively impact our ability to enter into derivative contracts at prices that exceed our costs of production.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are exposed to a risk of financial loss if a counterparty fails to perform under a derivative contract. We are unable to predict sudden changes in a counterparty’s creditworthiness or ability to perform. Even if we do accurately predict such changes, our ability to mitigate the risk may be limited depending upon market conditions. Furthermore, the bankruptcy of one or more of our hedge counterparties, or some other similar proceeding or liquidity constraint, would make it unlikely we would be able to collect all or a significant portion of amounts owed to us by the distressed entity or entities. During periods of falling commodity prices, our derivative receivable positions increase, which increases our exposure to the counterparties. If the creditworthiness of our counterparties deteriorates and results in their nonperformance, we could incur a significant loss.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Risks related to our operations</w:t>
      </w:r>
    </w:p>
    <w:p>
      <w:pPr>
        <w:pStyle w:val="TextBody"/>
        <w:bidi w:val="0"/>
        <w:spacing w:before="0" w:after="180"/>
        <w:jc w:val="left"/>
        <w:rPr>
          <w:rFonts w:ascii="Times New Roman" w:hAnsi="Times New Roman"/>
          <w:sz w:val="20"/>
        </w:rPr>
      </w:pPr>
      <w:r>
        <w:rPr>
          <w:rFonts w:ascii="Times New Roman" w:hAnsi="Times New Roman"/>
          <w:b/>
          <w:i/>
          <w:color w:val="000000"/>
          <w:sz w:val="20"/>
        </w:rPr>
        <w:t>Drilling is an uncertain and costly activity</w:t>
      </w:r>
      <w:r>
        <w:rPr>
          <w:rFonts w:ascii="Times New Roman" w:hAnsi="Times New Roman"/>
          <w:color w:val="000000"/>
          <w:sz w:val="20"/>
        </w:rPr>
        <w:t>. The cost of drilling, completing, and operating a well is often uncertain, and many factors can adversely affect the economics of a well. Our efforts will be uneconomical if we drill dry holes or wells that are productive but do not produce enough natural gas, NGLs and oil to be commercially viable after drilling, operating and other costs. There is no way to conclusively know in advance of drilling and testing whether any particular prospect will yield natural gas, NGLs or oil in commercially viable quantities. Furthermore, our drilling and producing operations may be curtailed, delayed, or canceled as a result of a variety of factors, including, but not limited to:</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increases in the costs, shortages or delivery delays of drilling rigs, equipment, water for hydraulic fracturing services, labor, or other services;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unexpected operational events and drilling conditions;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reductions in natural gas, NGLs or oil prices;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limitations in the market for natural gas, NGLs or oil;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facility or equipment malfunctions or operator error;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equipment failures or accidents;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loss of title and other title-related land issues;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pipe or cement failures and casing collapses;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compliance with, or changes in, permitting, environmental, tax and other governmental requirements;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environmental hazards, such as natural gas leaks, oil spills, pipeline and tank ruptures, and unauthorized discharges of hazardous materials;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lost or damaged oilfield drilling and service tools;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unusual or unexpected geological formations;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loss of drilling fluid circulation;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pressure or irregularities in geological formations;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fires, surface craterings, blowouts or explosions;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uncontrollable flows of oil, natural gas or well fluids;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availability and timely issuance of required governmental permits and licenses;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civil unrest or protest activities.</w:t>
      </w:r>
    </w:p>
    <w:p>
      <w:pPr>
        <w:pStyle w:val="TextBody"/>
        <w:bidi w:val="0"/>
        <w:spacing w:before="60" w:after="180"/>
        <w:jc w:val="left"/>
        <w:rPr>
          <w:rFonts w:ascii="Times New Roman" w:hAnsi="Times New Roman"/>
          <w:color w:val="000000"/>
          <w:sz w:val="20"/>
        </w:rPr>
      </w:pPr>
      <w:r>
        <w:rPr>
          <w:rFonts w:ascii="Times New Roman" w:hAnsi="Times New Roman"/>
          <w:color w:val="000000"/>
          <w:sz w:val="20"/>
        </w:rPr>
        <w:t xml:space="preserve">If any of these factors were to occur, we could lose all or a part of our investment or we could fail to realize the expected benefits, either of which could materially and adversely affect our revenue and profitability. Our operations involve utilizing drilling and completion techniques as developed by us and our service providers. Risks that we face while drilling horizontal wells include, but are not limited to, the following: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landing the wellbore in the desired drilling zone;</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drilling the wellbore to the full planned length;</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staying in the desired drilling zone while drilling horizontally through the formation;</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running casing the entire length of the wellbore;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being able to run tools and other equipment consistently through the horizontal wellbore.</w:t>
      </w:r>
    </w:p>
    <w:p>
      <w:pPr>
        <w:pStyle w:val="TextBody"/>
        <w:bidi w:val="0"/>
        <w:spacing w:before="60" w:after="180"/>
        <w:jc w:val="left"/>
        <w:rPr>
          <w:rFonts w:ascii="Times New Roman" w:hAnsi="Times New Roman"/>
          <w:color w:val="000000"/>
          <w:sz w:val="20"/>
        </w:rPr>
      </w:pPr>
      <w:r>
        <w:rPr>
          <w:rFonts w:ascii="Times New Roman" w:hAnsi="Times New Roman"/>
          <w:color w:val="000000"/>
          <w:sz w:val="20"/>
        </w:rPr>
        <w:t>Risks that we face while completing horizontal wells include, but are not limited to, the following:</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ability to fracture and stimulate the planned number of stages;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ability to run tools the entire length of the wellbore during completion operations; and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ability to successfully clean out the wellbore after completion of the final fracture stimulation stage.</w:t>
      </w:r>
    </w:p>
    <w:p>
      <w:pPr>
        <w:pStyle w:val="TextBody"/>
        <w:bidi w:val="0"/>
        <w:spacing w:before="60" w:after="180"/>
        <w:jc w:val="left"/>
        <w:rPr>
          <w:rFonts w:ascii="Times New Roman" w:hAnsi="Times New Roman"/>
          <w:sz w:val="20"/>
        </w:rPr>
      </w:pPr>
      <w:r>
        <w:rPr>
          <w:rFonts w:ascii="Times New Roman" w:hAnsi="Times New Roman"/>
          <w:b/>
          <w:i/>
          <w:color w:val="000000"/>
          <w:sz w:val="20"/>
        </w:rPr>
        <w:t>Our identified drilling locations are scheduled out over multiple years, making them susceptible to uncertainties that could materially alter the occurrence or timing of their drilling</w:t>
      </w:r>
      <w:r>
        <w:rPr>
          <w:rFonts w:ascii="Times New Roman" w:hAnsi="Times New Roman"/>
          <w:color w:val="000000"/>
          <w:sz w:val="20"/>
        </w:rPr>
        <w:t xml:space="preserve">. Our management team has specifically identified and scheduled certain drilling locations for future multi-year drilling activities on our existing acreage. Our ability to drill and develop these locations depends on a number of uncertainties, including natural gas, NGLs and oil prices, the availability and cost of capital, drilling and production costs, the availability of drilling services and equipment, drilling results, obtaining lease agreements and managing lease expirations, transportation constraints, permits, regulatory and zoning approvals and other factors. Unless production is established within the spacing units covering acreage subject to an expiration, the leases for such acreage will expire. Because of these uncertain factors, our actual drilling activities may materially differ from those presently identified. In addition, we will require significant capital over a prolonged period in order to pursue the development of these locations, and we may not be able to raise or generate the capital required to do so. Any drilling activities we are able to conduct on these locations may not be successful or result in our ability to add proved reserves to our overall proved reserves or may result in a downward revision of our estimated proved reserves, which could have a material adverse effect on our business and results of operations and financial condition. </w:t>
      </w:r>
    </w:p>
    <w:p>
      <w:pPr>
        <w:pStyle w:val="TextBody"/>
        <w:bidi w:val="0"/>
        <w:spacing w:before="0" w:after="180"/>
        <w:jc w:val="left"/>
        <w:rPr>
          <w:rFonts w:ascii="Times New Roman" w:hAnsi="Times New Roman"/>
          <w:sz w:val="20"/>
        </w:rPr>
      </w:pPr>
      <w:r>
        <w:rPr>
          <w:rFonts w:ascii="Times New Roman" w:hAnsi="Times New Roman"/>
          <w:b/>
          <w:i/>
          <w:color w:val="000000"/>
          <w:sz w:val="20"/>
        </w:rPr>
        <w:t>Our business is subject to operating hazards that could result in substantial losses or liabilities that may not be fully covered under our insurance policies</w:t>
      </w:r>
      <w:r>
        <w:rPr>
          <w:rFonts w:ascii="Times New Roman" w:hAnsi="Times New Roman"/>
          <w:color w:val="000000"/>
          <w:sz w:val="20"/>
        </w:rPr>
        <w:t xml:space="preserve">. While we have processes and procedures that we utilize to mitigate operational risks, natural gas, NGLs and oil operations are subject to many risks, including well blowouts, craterings, explosions, uncontrollable flows of oil, natural gas or well fluids (especially those that reach surface water or groundwater), fires, pipe or cement failures, pipeline ruptures or spills, vandalism, pollution, releases of toxic gases, geological formations with abnormal or unexpected pressures, adverse weather conditions or natural disasters and other environmental hazards and risks. In addition, our operations are sometimes near populated commercial or residential areas. If any of these hazards occur, we could sustain substantial losses as a result of: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personal injury or loss of life;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damage to or destruction of property, natural resources and equipment;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pollution or other environmental damage;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investigatory and cleanup responsibilities;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regulatory investigations and penalties or lawsuits;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suspension of operations by regulatory authorities; and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repairs and remediation to resume operations.</w:t>
      </w:r>
    </w:p>
    <w:p>
      <w:pPr>
        <w:pStyle w:val="TextBody"/>
        <w:bidi w:val="0"/>
        <w:spacing w:before="60" w:after="180"/>
        <w:jc w:val="left"/>
        <w:rPr>
          <w:rFonts w:ascii="Times New Roman" w:hAnsi="Times New Roman"/>
          <w:color w:val="000000"/>
          <w:sz w:val="20"/>
        </w:rPr>
      </w:pPr>
      <w:r>
        <w:rPr>
          <w:rFonts w:ascii="Times New Roman" w:hAnsi="Times New Roman"/>
          <w:color w:val="000000"/>
          <w:sz w:val="20"/>
        </w:rPr>
        <w:t>We maintain insurance against many, but not all, potential losses or liabilities arising from our operations in accordance with what we believe are customary industry practices and in amounts and at costs that we believe to be prudent and commercially practicable. Our insurance includes deductibles that must be met prior to recovery, as well as sub-limits and/or self-insurance. Additionally, our insurance is subject to exclusions and limitations. Our insurance does not cover every potential risk associated with our operations, including the potential loss of significant revenues. We can provide no assurance that our insurance coverage will adequately protect us against liability from all potential consequences, damages and losses.</w:t>
      </w:r>
    </w:p>
    <w:p>
      <w:pPr>
        <w:pStyle w:val="TextBody"/>
        <w:bidi w:val="0"/>
        <w:jc w:val="left"/>
        <w:rPr>
          <w:rFonts w:ascii="Times New Roman" w:hAnsi="Times New Roman"/>
          <w:color w:val="000000"/>
          <w:sz w:val="20"/>
        </w:rPr>
      </w:pPr>
      <w:r>
        <w:rPr>
          <w:rFonts w:ascii="Times New Roman" w:hAnsi="Times New Roman"/>
          <w:color w:val="000000"/>
          <w:sz w:val="20"/>
        </w:rPr>
        <w:t>We may elect not to purchase insurance in instances where we determine that the cost of available insurance is excessive relative to the risks we believe are presented. However, such determinations may prove to be incorrect. Further, some forms of insurance may become unavailable in the future. If we incur liability from a significant event and the damages are not covered by insurance or are in excess of policy limits, then we would have lower revenues and funds available to us for our operations, that could, in turn, have a material adverse effect on our business, financial condition and results of operations.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Additionally, we rely to a large extent on facilities owned and operated by third parties, in particular gas transportation and processing facilities, and damage to, or destruction of, those third-party facilities could affect our ability to process, transport and sell our production. To a limited extent, we maintain business interruption insurance related to key facilities and connecting lines for our wells in Pennsylvania where we are insured for potential catastrophic losses from the interruption of production caused by a covered loss of or damage to the processing plants; however, such insurance is limited and may not adequately protect us from all potential consequences, damages and losses. </w:t>
      </w:r>
    </w:p>
    <w:p>
      <w:pPr>
        <w:pStyle w:val="TextBody"/>
        <w:bidi w:val="0"/>
        <w:spacing w:before="180" w:after="180"/>
        <w:jc w:val="left"/>
        <w:rPr>
          <w:rFonts w:ascii="Times New Roman" w:hAnsi="Times New Roman"/>
          <w:sz w:val="20"/>
        </w:rPr>
      </w:pPr>
      <w:r>
        <w:rPr>
          <w:rFonts w:ascii="Times New Roman" w:hAnsi="Times New Roman"/>
          <w:b/>
          <w:i/>
          <w:color w:val="000000"/>
          <w:sz w:val="20"/>
        </w:rPr>
        <w:t>Our producing properties are concentrated in Pennsylvania, making us vulnerable to risks associated with operating in one geographic and political region</w:t>
      </w:r>
      <w:r>
        <w:rPr>
          <w:rFonts w:ascii="Times New Roman" w:hAnsi="Times New Roman"/>
          <w:color w:val="000000"/>
          <w:sz w:val="20"/>
        </w:rPr>
        <w:t xml:space="preserve">. Essentially 100% of our total estimated proved reserves are located in Pennsylvania. We are additionally vulnerable to processing and transportation constraints for our products in this area. We are more heavily exposed to the extensive and evolving regulatory environment in Pennsylvania which may lead to additional costs, delays or interruptions of construction, development and production from our wells. See also, below, </w:t>
      </w:r>
      <w:r>
        <w:rPr>
          <w:rFonts w:ascii="Times New Roman" w:hAnsi="Times New Roman"/>
          <w:i/>
          <w:color w:val="000000"/>
          <w:sz w:val="20"/>
        </w:rPr>
        <w:t>The natural gas industry is subject to extensive regulation</w:t>
      </w:r>
      <w:r>
        <w:rPr>
          <w:rFonts w:ascii="Times New Roman" w:hAnsi="Times New Roman"/>
          <w:color w:val="000000"/>
          <w:sz w:val="20"/>
        </w:rPr>
        <w:t xml:space="preserve">. </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Additionally, local governments in Pennsylvania are authorized to adopt and implement ordinances and impose certain restrictions regarding siting of well sites, tank pads and other related facilities. Approval from one or more local governmental bodies, some following a public hearing, may be required before commencing construction of facilities which can result in delay, increased expense or, in some cases, prevention of development. Moreover, new initiatives or regulations could propose new setback distances or further restrictions on our ability to conduct certain operations such as hydraulic fracturing or disposal of substances generated by our operations, including, but not limited to, produced water, drilling fluids and other wastes associated with our operations. For example, in January 2024, the DEP announced that it would implement a policy requiring natural gas well operators to disclose chemicals they use in drilling and hydraulic fracturing operations before the chemicals are used on-site. Further, in November 2024, Cecil Township, located in Washington County, Pennsylvania, adopted an ordinance that increased the setback distance for oil and gas operations from 500 feet to 2,500 feet from protected structures like residences and businesses and 5,000 feet from schools and hospitals. See also above </w:t>
      </w:r>
      <w:r>
        <w:rPr>
          <w:rFonts w:ascii="Times New Roman" w:hAnsi="Times New Roman"/>
          <w:i/>
          <w:color w:val="000000"/>
          <w:sz w:val="20"/>
        </w:rPr>
        <w:t>Land Use and Setbacks.</w:t>
      </w:r>
      <w:r>
        <w:rPr>
          <w:rFonts w:ascii="Times New Roman" w:hAnsi="Times New Roman"/>
          <w:color w:val="000000"/>
          <w:sz w:val="20"/>
        </w:rPr>
        <w:t xml:space="preserve"> Separately, the DEP received a citizen petition for rulemaking to expand setback distances from natural gas operations across Pennsylvania. On December 9, 2025, the Pennsylvania Environmental Quality Board (PEQB) accepted the citizen petition for rulemaking moving the petition forward for the DEP’s review and study of the requested rulemaking. We do not expect action on the requested rulemaking for the foreseeable future and believe that the petition and requested rulemaking are unlawful. We will continue to monitor this petition, the requested rulemaking and any related developments to assess potential impacts to our operations. Currently there are a few states that have elected to ban or severely limit hydraulic fracturing. Should Pennsylvania or the federal government ban hydraulic fracturing, it would preclude economic development of our Marcellus Shale reserves potentially resulting in severe negative financial consequences to us.</w:t>
      </w:r>
    </w:p>
    <w:p>
      <w:pPr>
        <w:pStyle w:val="TextBody"/>
        <w:bidi w:val="0"/>
        <w:spacing w:before="0" w:after="180"/>
        <w:jc w:val="left"/>
        <w:rPr>
          <w:rFonts w:ascii="Times New Roman" w:hAnsi="Times New Roman"/>
          <w:sz w:val="20"/>
        </w:rPr>
      </w:pPr>
      <w:r>
        <w:rPr>
          <w:rFonts w:ascii="Times New Roman" w:hAnsi="Times New Roman"/>
          <w:b/>
          <w:i/>
          <w:color w:val="000000"/>
          <w:sz w:val="20"/>
        </w:rPr>
        <w:t xml:space="preserve">We use a significant amount of water in our hydraulic fracturing operations. Our inability to locate sufficient amounts of water or dispose of or recycle water used in our operations may have a material adverse effect on our financial condition, results of operations and cash flows. </w:t>
      </w:r>
      <w:r>
        <w:rPr>
          <w:rFonts w:ascii="Times New Roman" w:hAnsi="Times New Roman"/>
          <w:color w:val="000000"/>
          <w:sz w:val="20"/>
        </w:rPr>
        <w:t>Water is an essential component of our drilling and hydraulic fracturing processes. Limitation or restrictions on our ability to secure sufficient amounts of water (including limitations from natural causes such as drought) and transport it could impact our operations. If we are unable to obtain water to use in our operations from local sources, we may need to obtain it from new sources and transport the water to drilling sites, resulting in increased costs. We must either dispose of or recycle water used in our operations. Compliance with environmental and permit requirements governing the withdrawal, storage and use of recycled water, surface water or groundwater may increase costs and cause delays, interruptions or termination of our operations.</w:t>
      </w:r>
    </w:p>
    <w:p>
      <w:pPr>
        <w:pStyle w:val="TextBody"/>
        <w:bidi w:val="0"/>
        <w:spacing w:before="0" w:after="180"/>
        <w:jc w:val="left"/>
        <w:rPr>
          <w:rFonts w:ascii="Times New Roman" w:hAnsi="Times New Roman"/>
          <w:sz w:val="20"/>
        </w:rPr>
      </w:pPr>
      <w:r>
        <w:rPr>
          <w:rFonts w:ascii="Times New Roman" w:hAnsi="Times New Roman"/>
          <w:b/>
          <w:i/>
          <w:color w:val="000000"/>
          <w:sz w:val="20"/>
        </w:rPr>
        <w:t xml:space="preserve">Unless we replace our reserves, our reserves and production will decline, which could adversely affect our business, financial condition and results of operations. </w:t>
      </w:r>
      <w:r>
        <w:rPr>
          <w:rFonts w:ascii="Times New Roman" w:hAnsi="Times New Roman"/>
          <w:color w:val="000000"/>
          <w:sz w:val="20"/>
        </w:rPr>
        <w:t xml:space="preserve">Unless we successfully replace the reserves that we produce, our reserves will decline as reserves are depleted, eventually resulting in a decrease in natural gas, NGLs and oil production and lower revenues and cash flow from operations. Our future production is, therefore, highly dependent on our level of success in finding or acquiring additional reserves. We may not be able to replace reserves through our exploration, development and extraction activities or by acquiring properties at acceptable costs which would result in a reduction in proved reserves and production over time. If we are unable to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replace our current and future production, our revenues will decrease and our business, financial condition and results of operations may be adversely affected.</w:t>
      </w:r>
    </w:p>
    <w:p>
      <w:pPr>
        <w:pStyle w:val="TextBody"/>
        <w:bidi w:val="0"/>
        <w:jc w:val="left"/>
        <w:rPr>
          <w:rFonts w:ascii="Times New Roman" w:hAnsi="Times New Roman"/>
          <w:sz w:val="20"/>
        </w:rPr>
      </w:pPr>
      <w:r>
        <w:rPr>
          <w:rFonts w:ascii="Times New Roman" w:hAnsi="Times New Roman"/>
          <w:b/>
          <w:i/>
          <w:color w:val="000000"/>
          <w:sz w:val="20"/>
        </w:rPr>
        <w:t>Our business depends on natural gas and oil transportation and NGLs processing facilities, which are owned by others and depends on our ability to contract with those parties</w:t>
      </w:r>
      <w:r>
        <w:rPr>
          <w:rFonts w:ascii="Times New Roman" w:hAnsi="Times New Roman"/>
          <w:color w:val="000000"/>
          <w:sz w:val="20"/>
        </w:rPr>
        <w:t>. Our ability to sell our natural gas, NGLs and oil production depends in part on the availability, proximity and capacity of gathering and transportation pipeline systems, processing facilities, rail cars, trucks or vessels owned by third parties and our ability to contract with those third parties. The lack of available capacity on these systems and facilities could result in the shut-in of producing wells or the delay or discontinuance of development plans for properties. Changes in intrastate pipeline rate design for Section 311 service could increase fixed transportation costs and reduce flexibility. If intrastate pipelines that provide interstate transportation under the Natural Gas Policy Act Section 311 adopt or maintain rate designs with higher fixed (reservation) charges, our transportation costs could increase and our flexibility to manage volumes through variable charges could decline. Because we depend on third</w:t>
        <w:noBreakHyphen/>
        <w:t xml:space="preserve">party systems to gather and transport our production, higher fixed fees or related tariff changes could reduce our netbacks, contribute to curtailments in constrained periods, and adversely affect our results of operations and cash flows. See also above, </w:t>
      </w:r>
      <w:r>
        <w:rPr>
          <w:rFonts w:ascii="Times New Roman" w:hAnsi="Times New Roman"/>
          <w:i/>
          <w:color w:val="000000"/>
          <w:sz w:val="20"/>
        </w:rPr>
        <w:t>Our producing properties are concentrated in Pennsylvania,</w:t>
      </w:r>
      <w:r>
        <w:rPr>
          <w:rFonts w:ascii="Times New Roman" w:hAnsi="Times New Roman"/>
          <w:color w:val="000000"/>
          <w:sz w:val="20"/>
        </w:rPr>
        <w:t xml:space="preserve"> </w:t>
      </w:r>
      <w:r>
        <w:rPr>
          <w:rFonts w:ascii="Times New Roman" w:hAnsi="Times New Roman"/>
          <w:i/>
          <w:color w:val="000000"/>
          <w:sz w:val="20"/>
        </w:rPr>
        <w:t>making us vulnerable to risks associated with operating in one geographic and political region.</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Although we have some contractual control over the transportation of our products, material changes in these business relationships, including the financial condition of the contractual counterparties, could materially affect our operations. In some cases, we do not purchase firm transportation on third-party facilities and, as a result, our production transportation can be interrupted by those having firm arrangements. In other cases, we have entered into firm transportation arrangements where we are obligated to pay fees on minimum volumes regardless of actual volume throughput. If production decreases due to reduced or delayed developmental activities, the current commodity price environment, production related difficulties or otherwise, we may be unable to utilize all of our rights under existing firm transportation contracts, resulting in obligations to pay fees without receiving revenue from sales. Such fees may be significant and may have a material adverse effect on our operations. We have also entered into long-term agreements with third parties to provide natural gas gathering and processing services. In some cases, the capacity of gathering systems and transportation pipelines may be insufficient to accommodate production from existing and new wells. Federal and state regulation of natural gas and oil production and transportation, tax and energy policies, changes in supply and demand, pipeline pressures, damage to or destruction of pipelines, obstacles or impediments due to coal or other mineral extraction activities and general economic conditions could adversely affect our ability to produce, gather and transport natural gas, NGLs and oil. If any of these third-party pipelines or other facilities become partially or fully unavailable to transport or process our product, or if the natural gas quality specifications for a natural gas pipeline or facility change so as to restrict our ability to transport natural gas on those pipelines or facilities, our revenues could be adversely affected.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The disruption of third-party facilities due to maintenance, mechanical failures, accidents, weather and/or other reasons could negatively impact our ability to market and deliver our products. In particular, the disruption of certain third-party natural gas processing facilities that support our core operating area in southwest Pennsylvania could materially affect our ability to market and deliver natural gas production in that area especially if such disruption were to last for more than a short duration which could result in the necessity to curtail a significant amount of our production. We have no control over when or if such facilities are restored and generally have no control over what prices will be charged. A total shut-in of production could severely affect us due to a lack of cash flow, and if a substantial portion of the production volume is hedged at lower than market prices, our obligation to the counterparty under those financial hedges might have to be paid from borrowings thus further adversely affecting our financial condition.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Risks related to the industry in which we operate</w:t>
      </w:r>
    </w:p>
    <w:p>
      <w:pPr>
        <w:pStyle w:val="TextBody"/>
        <w:bidi w:val="0"/>
        <w:spacing w:before="0" w:after="180"/>
        <w:jc w:val="left"/>
        <w:rPr>
          <w:rFonts w:ascii="Times New Roman" w:hAnsi="Times New Roman"/>
          <w:sz w:val="20"/>
        </w:rPr>
      </w:pPr>
      <w:r>
        <w:rPr>
          <w:rFonts w:ascii="Times New Roman" w:hAnsi="Times New Roman"/>
          <w:b/>
          <w:i/>
          <w:color w:val="000000"/>
          <w:sz w:val="20"/>
        </w:rPr>
        <w:t>The natural gas industry is subject to extensive regulation</w:t>
      </w:r>
      <w:r>
        <w:rPr>
          <w:rFonts w:ascii="Times New Roman" w:hAnsi="Times New Roman"/>
          <w:color w:val="000000"/>
          <w:sz w:val="20"/>
        </w:rPr>
        <w:t>. Natural gas, NGLs, oil and other hydrocarbons, as well as our operations to produce these products, are subject to extensive laws, regulations, and ordinances at the federal, state and local level. Further, new legislation, proposed rulemaking and ordinance amendments affecting the industry are under constant review often with more expansive requirements and rules on our products and operations. Compliance with new and expanding laws from numerous governmental departments and agencies often increases our cost of doing business, delays our operations and decreases our profitability and additional uncertainty can be introduced through varying court interpretations of such laws. Certain potential legislation, such as a ban on hydraulic fracturing, could even preclude our ability to economically develop our reserves.</w:t>
      </w:r>
    </w:p>
    <w:p>
      <w:pPr>
        <w:pStyle w:val="TextBody"/>
        <w:bidi w:val="0"/>
        <w:jc w:val="left"/>
        <w:rPr>
          <w:rFonts w:ascii="Times New Roman" w:hAnsi="Times New Roman"/>
          <w:color w:val="000000"/>
          <w:sz w:val="20"/>
        </w:rPr>
      </w:pPr>
      <w:r>
        <w:rPr>
          <w:rFonts w:ascii="Times New Roman" w:hAnsi="Times New Roman"/>
          <w:color w:val="000000"/>
          <w:sz w:val="20"/>
        </w:rPr>
        <w:t>Matters subject to laws and regulations affecting our business include, but are not limited to: the amount and types of substances and material that may be released into the environment, including GHGs; responding to unexpected releases of regulated substances or materials to the environment; the sourcing, transportation and disposal of water used in the drilling and completions process; permits, performance rules and reporting obligations concerning drilling, completion and production operations; threatened or endangered species and waterway protection efforts; and climate related initiatives.</w:t>
      </w:r>
    </w:p>
    <w:p>
      <w:pPr>
        <w:pStyle w:val="TextBody"/>
        <w:bidi w:val="0"/>
        <w:spacing w:before="180" w:after="180"/>
        <w:jc w:val="left"/>
        <w:rPr>
          <w:rFonts w:ascii="Times New Roman" w:hAnsi="Times New Roman"/>
          <w:sz w:val="20"/>
        </w:rPr>
      </w:pPr>
      <w:r>
        <w:rPr>
          <w:rFonts w:ascii="Times New Roman" w:hAnsi="Times New Roman"/>
          <w:i/>
          <w:color w:val="000000"/>
          <w:sz w:val="20"/>
        </w:rPr>
        <w:t>Environmental regulations and pollution liability could expose us to significant costs and penalties</w:t>
      </w:r>
      <w:r>
        <w:rPr>
          <w:rFonts w:ascii="Times New Roman" w:hAnsi="Times New Roman"/>
          <w:color w:val="000000"/>
          <w:sz w:val="20"/>
        </w:rPr>
        <w:t xml:space="preserve">. We may incur significant costs and liabilities in complying with existing or future environmental laws, regulations and enforcement policies or initiatives. Some of these environmental laws and regulations may impose strict, joint and several liability regardless of fault or knowledge, which could subject us to liability for conduct that was lawful at the time it occurred, or conditions caused by prior owners or operators or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which relate to third-party sites where we have taken materials for recycling or disposal. Pennsylvania law also imposes criminal liability for certain releases of substances, regardless of fault or intent. Failure to comply with these laws and regulations may result in the occurrence of delays, cancellations or restrictions in permitting or performance of our projects or other operations and subject us to administrative, civil and/or criminal penalties, corrective actions and orders enjoining some or all of our operations. Our operations may be impacted by new and amended laws and regulations, reinterpretations of existing laws and regulations or increased government enforcement relating to environmental laws. For example, properly handled drilling fluids and produced water are currently exempt from regulation as hazardous waste under RCRA, and instead are regulated under RCRA’s non-hazardous waste provisions. It is possible that the EPA may in the future propose rulemaking that designates such wastes as hazardous rather than non-hazardous, and a similar designation may be made at the state level. Should this occur at the federal and/or state level it could result in significant costs to attain and maintain compliance.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may also be exposed to liability and costs for handling of hydrocarbons, air emissions and wastewater or other fluid discharges related to our operations and waste disposal practices. Spills or other unauthorized releases of hazardous or regulated substances by us, our contractors or resulting from our operations could expose us to material losses, expenditures and liabilities, including civil and criminal liabilities, in each case under environmental laws and regulations and we are currently and have in the past been involved in such investigations, remediation and monitoring activities. The Pennsylvania Office of the Attorney General has previously announced investigations and charges generally related to our industry in Pennsylvania. Additionally, neighboring landowners and other third parties may assert claims or file lawsuits against us for personal injury and/or property damage allegedly caused by the release of substances into the environment, with or without evidence of an impact from our operations, all of which could also result in significant litigation or settlement costs as well as reputational harm.</w:t>
      </w:r>
    </w:p>
    <w:p>
      <w:pPr>
        <w:pStyle w:val="TextBody"/>
        <w:bidi w:val="0"/>
        <w:jc w:val="left"/>
        <w:rPr/>
      </w:pPr>
      <w:r>
        <w:rPr>
          <w:rFonts w:ascii="Times New Roman" w:hAnsi="Times New Roman"/>
          <w:i/>
          <w:color w:val="000000"/>
          <w:sz w:val="20"/>
        </w:rPr>
        <w:t>Laws and regulations pertaining to threatened and endangered species and protection of waterways could delay or restrict our operations and cause us to incur substantial costs</w:t>
      </w:r>
      <w:r>
        <w:rPr>
          <w:rFonts w:ascii="Times New Roman" w:hAnsi="Times New Roman"/>
          <w:color w:val="000000"/>
          <w:sz w:val="20"/>
        </w:rPr>
        <w:t xml:space="preserve">. Various federal and state statutes prohibit actions or operations that adversely affect endangered or threatened species and their habitats. These statutes include the federal ESA, the Migratory Bird Treaty Act, the CWA, CERCLA and similar state programs, including the Pennsylvania Oil and Gas Act and the Clean Streams Law and related regulations. For example, the United States Fish and Wildlife Service as well as state agencies may designate critical habitat and suitable habitat areas that it believes are necessary for survival of threatened or endangered species. A critical habitat or suitable habitat designation could result in material restrictions to land use and delay, restrict or even prevent our operations. For additional details, please refer to Governmental Regulation in </w:t>
      </w:r>
      <w:hyperlink w:anchor="items_1_2_business_properties">
        <w:r>
          <w:rPr>
            <w:rStyle w:val="InternetLink"/>
            <w:rFonts w:ascii="Times New Roman" w:hAnsi="Times New Roman"/>
            <w:color w:val="0000FF"/>
            <w:sz w:val="20"/>
            <w:u w:val="single"/>
          </w:rPr>
          <w:t>Item 1</w:t>
        </w:r>
      </w:hyperlink>
      <w:r>
        <w:rPr>
          <w:rFonts w:ascii="Times New Roman" w:hAnsi="Times New Roman"/>
          <w:color w:val="000000"/>
          <w:sz w:val="20"/>
        </w:rPr>
        <w:t xml:space="preserve">, </w:t>
      </w:r>
      <w:r>
        <w:rPr>
          <w:rFonts w:ascii="Times New Roman" w:hAnsi="Times New Roman"/>
          <w:i/>
          <w:color w:val="000000"/>
          <w:sz w:val="20"/>
        </w:rPr>
        <w:t xml:space="preserve">Environmental and Occupational Health and Safety Matters, </w:t>
      </w:r>
      <w:r>
        <w:rPr>
          <w:rFonts w:ascii="Times New Roman" w:hAnsi="Times New Roman"/>
          <w:color w:val="000000"/>
          <w:sz w:val="20"/>
        </w:rPr>
        <w:t xml:space="preserve">specifically the </w:t>
      </w:r>
      <w:r>
        <w:rPr>
          <w:rFonts w:ascii="Times New Roman" w:hAnsi="Times New Roman"/>
          <w:i/>
          <w:color w:val="000000"/>
          <w:sz w:val="20"/>
        </w:rPr>
        <w:t xml:space="preserve">Endangered Species Act </w:t>
      </w:r>
      <w:r>
        <w:rPr>
          <w:rFonts w:ascii="Times New Roman" w:hAnsi="Times New Roman"/>
          <w:color w:val="000000"/>
          <w:sz w:val="20"/>
        </w:rPr>
        <w:t>section above. Similarly, operations may be impacted, delayed or even prevented by the existence of wetlands or other environmentally sensitive areas based upon the scope of the CWA and its protection of waters of the United States as well as state laws such as the Pennsylvania Clean Streams Law and related regulations and permitting requirements. We will continue to monitor changes to the federal definition of “waters of the United States,” proposed in November 2025 since jurisdictional shifts can affect permitting scope, timing, and mitigation requirements for certain of our activities.</w:t>
      </w:r>
    </w:p>
    <w:p>
      <w:pPr>
        <w:pStyle w:val="TextBody"/>
        <w:bidi w:val="0"/>
        <w:spacing w:before="180" w:after="180"/>
        <w:jc w:val="left"/>
        <w:rPr>
          <w:rFonts w:ascii="Times New Roman" w:hAnsi="Times New Roman"/>
          <w:sz w:val="20"/>
        </w:rPr>
      </w:pPr>
      <w:r>
        <w:rPr>
          <w:rFonts w:ascii="Times New Roman" w:hAnsi="Times New Roman"/>
          <w:i/>
          <w:color w:val="000000"/>
          <w:sz w:val="20"/>
        </w:rPr>
        <w:t>Climate related regulations and initiatives could expose us to significant costs and restrictions on operations</w:t>
      </w:r>
      <w:r>
        <w:rPr>
          <w:rFonts w:ascii="Times New Roman" w:hAnsi="Times New Roman"/>
          <w:color w:val="000000"/>
          <w:sz w:val="20"/>
        </w:rPr>
        <w:t>. There is an ongoing public debate as to the extent to which our climate is changing, the potential causes of climate change and its potential impacts. As part of that debate, there is general belief that increased levels of GHGs, including carbon dioxide and methane, have contributed to and continue to contribute to climate change which has led to numerous regulatory, political, litigation and financial risks associated with the production of fossil fuels and emissions of GHGs. Oil and natural gas development generates GHG emissions.</w:t>
      </w:r>
    </w:p>
    <w:p>
      <w:pPr>
        <w:pStyle w:val="TextBody"/>
        <w:bidi w:val="0"/>
        <w:spacing w:before="0" w:after="180"/>
        <w:jc w:val="left"/>
        <w:rPr/>
      </w:pPr>
      <w:r>
        <w:rPr>
          <w:rFonts w:ascii="Times New Roman" w:hAnsi="Times New Roman"/>
          <w:color w:val="000000"/>
          <w:sz w:val="20"/>
        </w:rPr>
        <w:t xml:space="preserve">Federal and state governments have from time to time considered legislation and regulations to reduce GHG emissions, including, but not limited to the implementation of GHG monitoring and reporting for the natural gas industry which includes certain of our operations. For additional details please refer to Governmental Regulation in </w:t>
      </w:r>
      <w:hyperlink w:anchor="items_1_2_business_properties">
        <w:r>
          <w:rPr>
            <w:rStyle w:val="InternetLink"/>
            <w:rFonts w:ascii="Times New Roman" w:hAnsi="Times New Roman"/>
            <w:color w:val="0000FF"/>
            <w:sz w:val="20"/>
            <w:u w:val="single"/>
          </w:rPr>
          <w:t>Item 1</w:t>
        </w:r>
      </w:hyperlink>
      <w:r>
        <w:rPr>
          <w:rFonts w:ascii="Times New Roman" w:hAnsi="Times New Roman"/>
          <w:color w:val="000000"/>
          <w:sz w:val="20"/>
        </w:rPr>
        <w:t xml:space="preserve">, </w:t>
      </w:r>
      <w:r>
        <w:rPr>
          <w:rFonts w:ascii="Times New Roman" w:hAnsi="Times New Roman"/>
          <w:i/>
          <w:color w:val="000000"/>
          <w:sz w:val="20"/>
        </w:rPr>
        <w:t>Environmental and Occupational Health and Safety Matters</w:t>
      </w:r>
      <w:r>
        <w:rPr>
          <w:rFonts w:ascii="Times New Roman" w:hAnsi="Times New Roman"/>
          <w:color w:val="000000"/>
          <w:sz w:val="20"/>
        </w:rPr>
        <w:t xml:space="preserve">, specifically the </w:t>
      </w:r>
      <w:r>
        <w:rPr>
          <w:rFonts w:ascii="Times New Roman" w:hAnsi="Times New Roman"/>
          <w:i/>
          <w:color w:val="000000"/>
          <w:sz w:val="20"/>
        </w:rPr>
        <w:t xml:space="preserve">Air emissions </w:t>
      </w:r>
      <w:r>
        <w:rPr>
          <w:rFonts w:ascii="Times New Roman" w:hAnsi="Times New Roman"/>
          <w:color w:val="000000"/>
          <w:sz w:val="20"/>
        </w:rPr>
        <w:t xml:space="preserve">and </w:t>
      </w:r>
      <w:r>
        <w:rPr>
          <w:rFonts w:ascii="Times New Roman" w:hAnsi="Times New Roman"/>
          <w:i/>
          <w:color w:val="000000"/>
          <w:sz w:val="20"/>
        </w:rPr>
        <w:t xml:space="preserve">Climate change </w:t>
      </w:r>
      <w:r>
        <w:rPr>
          <w:rFonts w:ascii="Times New Roman" w:hAnsi="Times New Roman"/>
          <w:color w:val="000000"/>
          <w:sz w:val="20"/>
        </w:rPr>
        <w:t>sections above. There have also been a number of state and regional efforts that have emerged that seek to track and reduce GHG emissions by means of cap and trade programs where emitters would be required to acquire and surrender emission allowances in return for emitting GHGs. The Pennsylvania Environmental Quality Board approved a rule in 2020 to participate in the Regional Greenhouse Gas Initiative (“RGGI”), a multi-state program capping CO</w:t>
      </w:r>
      <w:r>
        <w:rPr>
          <w:rFonts w:ascii="Times New Roman" w:hAnsi="Times New Roman"/>
          <w:color w:val="000000"/>
          <w:sz w:val="13"/>
        </w:rPr>
        <w:t xml:space="preserve">2 </w:t>
      </w:r>
      <w:r>
        <w:rPr>
          <w:rFonts w:ascii="Times New Roman" w:hAnsi="Times New Roman"/>
          <w:color w:val="000000"/>
          <w:sz w:val="20"/>
        </w:rPr>
        <w:t xml:space="preserve">emissions from fossil-fuel-fired power plants. Subsequent legal challenges resulted in a July 2022 Commonwealth Court of Pennsylvania order staying Pennsylvania’s participation in RGGI, and, in November 2023, the Commonwealth Court ruled that funds generated through the RGGI are an unconstitutional tax, effectively preventing the state from participating in RGGI. Pennsylvania Governor Josh Shapiro then appealed to the Pennsylvania Supreme Court. In parallel, throughout 2024 and 2025 the Pennsylvania General Assembly advanced legislation to repeal the RGGI regulation and to bar participation absent specific legislative authorization while executive-branch policymakers pursued alternative, Pennsylvania-specific cap-and-invest concepts. However, in November 2025, Governor Shapiro signed a bill as part of a deal to resolve an ongoing budget impasse that, among other things, withdrew the Commonwealth of Pennsylvania from the RGGI (and rendered moot the related legislation in the Pennsylvania General Assembly), ending years of political and legal conflict over whether the state should join the multistate cap and trade program. We will continue to monitor these developments because any carbon-pricing program applicable to in-state generators could influence in-state power-sector gas demand, basis differentials, and, indirectly, our price realizations and development plans. We also initiated our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own internal goals to reduce GHG emissions to net zero Scope 1 and 2 GHG emissions by 2025, which we achieved in 2024 and maintained in 2025.</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outcome of federal, state and regional actions to address global climate change could result in a variety of new laws and regulations to control or restrict emissions including taxes or other charges to deter or restrict emissions of GHGs. This may also depend upon political outcomes as there have been certain candidates seeking election to various state and federal offices or their appointees, who have made pledges to restrict GHG emissions, ban hydraulic fracturing of oil and natural gas wells and ban new leases for production of natural gas, NGLs and oil on federal lands. Our reserves development is critically dependent upon the use of hydraulic fracturing and we cannot economically develop any of our reserves without using such technology (which we believe has been safely conducted for many decades) and a ban of such technology could result in severe economic harm to us. </w:t>
      </w:r>
    </w:p>
    <w:p>
      <w:pPr>
        <w:pStyle w:val="TextBody"/>
        <w:bidi w:val="0"/>
        <w:spacing w:before="60" w:after="180"/>
        <w:jc w:val="left"/>
        <w:rPr>
          <w:rFonts w:ascii="Times New Roman" w:hAnsi="Times New Roman"/>
          <w:color w:val="000000"/>
          <w:sz w:val="20"/>
        </w:rPr>
      </w:pPr>
      <w:r>
        <w:rPr>
          <w:rFonts w:ascii="Times New Roman" w:hAnsi="Times New Roman"/>
          <w:color w:val="000000"/>
          <w:sz w:val="20"/>
        </w:rPr>
        <w:t xml:space="preserve">There are also increasing litigation risks associated with climate change concerns as a number of cities and local governments have initiated lawsuits against fossil fuel producers in state and federal court asserting claims for public nuisance and seeking damages for climate change impacts to roadways and infrastructure. Such lawsuits have also alleged that fossil fuel producers have been aware of the adverse effects of climate change and defrauded their investors by failing to adequately disclose those impacts. </w:t>
      </w:r>
    </w:p>
    <w:p>
      <w:pPr>
        <w:pStyle w:val="TextBody"/>
        <w:bidi w:val="0"/>
        <w:jc w:val="left"/>
        <w:rPr>
          <w:rFonts w:ascii="Times New Roman" w:hAnsi="Times New Roman"/>
          <w:color w:val="000000"/>
          <w:sz w:val="20"/>
        </w:rPr>
      </w:pPr>
      <w:r>
        <w:rPr>
          <w:rFonts w:ascii="Times New Roman" w:hAnsi="Times New Roman"/>
          <w:color w:val="000000"/>
          <w:sz w:val="20"/>
        </w:rPr>
        <w:t>Financial risks exist for fossil fuel energy companies, including natural gas producers, as in recent years, stockholders and bondholders are concerned about the potential effects of fossil fuels on climate change and may elect to shift some or all of their investments away from fossil fuel based energy. Institutional lenders who provide financing to fossil fuel energy companies are at times under pressure from activists and are the subject of lobbying to not provide funding for fossil fuel production, although this trend has recently decreased. For example, in November 2021, the Federal Reserve issued a statement in support of the efforts of the Network of Greening the Financial System, of which the Federal Reserve is a member, to identify key issues and potential solutions for the climate-related challenges most relevant to central banks and supervisory authorities. However in January 2025, the Federal Reserve issued a statement announcing it has withdrawn from the Network of Central Banks and Supervisors for the Greening of the Financial System. Despite the declining trend, some institutional lenders may elect not to provide funding for us which could result in restriction, delay or cancellation of drilling programs, development or production activities or impair our ability to operate economically.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March 6, 2024, the SEC adopted rules that would require public companies to disclose extensive climate change-related information in certain of their SEC filings. However, on March 15, 2024, a federal appellate court imposed a temporary stay pending judicial review of such new rules, and in response, on April 4, 2024, the SEC issued an order staying any amendments to such rules pending the completion of judicial review of the federal appellate court petitions. On February 11, 2025, the acting chairman of the SEC released a statement that he has directed the SEC staff to request that the court not schedule the case for argument to provide time for the SEC to deliberate the appropriate next steps in litigation related to The Enhancement and Standardization of Climate-Related Disclosures for Investors rule. On March 27, 2025, the SEC commissioners voted to end the defense of The Enhancement and Standardization of Climate-Related Disclosures for Investors rule. While the SEC has ceased defending the previously approved climate disclosure rules and notified the court accordingly (leaving them stayed and unlikely to take effect under the current administration), other state-level jurisdictions have already implemented or are currently developing climate disclosure requirements for large companies that operate in their jurisdictions.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Certain organizations that provide corporate governance and other corporate risk information to investors and stockholders have developed scores and ratings to evaluate companies and investment funds based on sustainability or environmental, social and governance ("ESG") metrics. Currently, there are no universal standards for such scores or ratings, but the importance of sustainability evaluations is becoming more broadly accepted by investors and stockholders. A number of advocacy groups, both domestically and internationally, have campaigned for governmental and private action to promote change at public companies related to ESG matters, including through investment and voting practices of investment advisors, public pension funds, universities and other members of the investing community. As a result, many investment funds focus on positive ESG business practices and sustainability scores when making investments. Companies which do not adapt to or comply with investor or stockholder ESG expectations and standards or which are perceived to have not responded appropriately to the growing concern for ESG issues, regardless of whether there is a legal requirement to do so, may suffer from reputational damage and the financial condition, results of operations or cash flows of such a company could be materially and adversely affected, or could also have limited access to certain capital markets.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Moreover, we may from time-to-time create and publish voluntary disclosures regarding ESG matters. Many of the statements in those voluntary disclosures are based on hypothetical expectations and assumptions that may or may not be representative of current or actual risks or events or forecasts of expected risks or events, including the costs associated therewith. Such expectations and assumptions are necessarily uncertain and may be prone to error or subject to misinterpretation given the long timelines involved and the lack of an established single approach to identifying, measuring and reporting on many ESG matters.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At this time, we cannot predict the potential impact of such laws, regulations, regional or international initiatives or compacts, litigation, ESG ratings or financing restrictions due to climate concerns on our future consolidated financial condition, results of operations or cash flows; however, such impacts could be material and have material negative consequences to our business.</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sz w:val="20"/>
        </w:rPr>
      </w:pPr>
      <w:r>
        <w:rPr>
          <w:rFonts w:ascii="Times New Roman" w:hAnsi="Times New Roman"/>
          <w:b/>
          <w:i/>
          <w:color w:val="000000"/>
          <w:sz w:val="20"/>
        </w:rPr>
        <w:t>Information concerning our reserves and future net cash flow are estimates and may not match our results</w:t>
      </w:r>
      <w:r>
        <w:rPr>
          <w:rFonts w:ascii="Times New Roman" w:hAnsi="Times New Roman"/>
          <w:color w:val="000000"/>
          <w:sz w:val="20"/>
        </w:rPr>
        <w:t xml:space="preserve">. There are numerous uncertainties inherent in estimating quantities of proved natural gas, NGLs and oil reserves and their values, including many factors beyond our control. Estimates of proved reserves depend on many assumptions relating to current and future economic conditions and commodity prices as well as the projected productivity of our wells and infrastructure to gather, process, store and/or transport our products to market. To the extent we experience a sustained period of reduced commodity prices, there is a risk that a portion of our proved reserves could be deemed uneconomic and no longer be classified as proved. Although we utilize robust processes and procedures to evaluate and estimate our reserves, they are estimates and the actual production, revenues and costs to develop our estimated reserves will vary from estimates and these variances could be material and/or negative. </w:t>
      </w:r>
    </w:p>
    <w:p>
      <w:pPr>
        <w:pStyle w:val="TextBody"/>
        <w:bidi w:val="0"/>
        <w:spacing w:before="60" w:after="180"/>
        <w:jc w:val="left"/>
        <w:rPr>
          <w:rFonts w:ascii="Times New Roman" w:hAnsi="Times New Roman"/>
          <w:color w:val="000000"/>
          <w:sz w:val="20"/>
        </w:rPr>
      </w:pPr>
      <w:r>
        <w:rPr>
          <w:rFonts w:ascii="Times New Roman" w:hAnsi="Times New Roman"/>
          <w:color w:val="000000"/>
          <w:sz w:val="20"/>
        </w:rPr>
        <w:t xml:space="preserve">Reserve estimation is a subjective process that involves estimating volumes to be recovered from underground accumulations of natural gas, NGLs and oil that cannot be directly measured. As a result, different petroleum engineers, each using industry-accepted geologic and engineering practices and scientific methods, may calculate different estimates of reserves and future net cash flows based on the same available data. Because of the subjective application of engineering principles to natural gas, NGLs and oil reserve estimates, each of the following items may differ materially from the amounts or other factors estimated: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amount and timing of natural gas, NGLs and oil production;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revenues and costs associated with that production;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amount and timing of future development expenditures; and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future commodity prices. </w:t>
      </w:r>
    </w:p>
    <w:p>
      <w:pPr>
        <w:pStyle w:val="TextBody"/>
        <w:bidi w:val="0"/>
        <w:spacing w:before="60" w:after="180"/>
        <w:jc w:val="left"/>
        <w:rPr>
          <w:rFonts w:ascii="Times New Roman" w:hAnsi="Times New Roman"/>
          <w:color w:val="000000"/>
          <w:sz w:val="20"/>
        </w:rPr>
      </w:pPr>
      <w:r>
        <w:rPr>
          <w:rFonts w:ascii="Times New Roman" w:hAnsi="Times New Roman"/>
          <w:color w:val="000000"/>
          <w:sz w:val="20"/>
        </w:rPr>
        <w:t xml:space="preserve">The discounted future net cash flows from our proved reserves included in this report are not the same as the market value of the reserves attributable to our properties. As required by United States generally accepted accounting principles ("U.S. GAAP"), the estimated discounted future net revenues from our proved reserves are based on a twelve month average price (first day of the month) while cost estimates are based on current year-end economic conditions. Actual future prices and costs may be materially higher or lower. In addition, the ten percent discount factor that is required to be used to calculate discounted future net cash flows for reporting purposes under U.S. GAAP is not necessarily the most appropriate discount factor based on the cost of capital, which varies from time to time, and risks associated with our business and the oil and gas industry in general. </w:t>
      </w:r>
    </w:p>
    <w:p>
      <w:pPr>
        <w:pStyle w:val="TextBody"/>
        <w:bidi w:val="0"/>
        <w:spacing w:before="0" w:after="180"/>
        <w:jc w:val="left"/>
        <w:rPr>
          <w:rFonts w:ascii="Times New Roman" w:hAnsi="Times New Roman"/>
          <w:sz w:val="20"/>
        </w:rPr>
      </w:pPr>
      <w:r>
        <w:rPr>
          <w:rFonts w:ascii="Times New Roman" w:hAnsi="Times New Roman"/>
          <w:b/>
          <w:i/>
          <w:color w:val="000000"/>
          <w:sz w:val="20"/>
        </w:rPr>
        <w:t>We may face various risks associated with the long-term trend toward increased activism against oil and gas exploration and development activities</w:t>
      </w:r>
      <w:r>
        <w:rPr>
          <w:rFonts w:ascii="Times New Roman" w:hAnsi="Times New Roman"/>
          <w:color w:val="000000"/>
          <w:sz w:val="20"/>
        </w:rPr>
        <w:t>. Opposition toward oil and gas drilling and development activity has been growing over time. Companies in the oil and gas industry are often the target of activist efforts to delay or prevent oil and gas development from both individuals and non-governmental organizations who use safety, environmental compliance and business practices to support their opposition to oil and gas drilling. Anti-development activists are working to, among other things, reduce access to federal and state government lands, delay or cancel certain projects such as the development of oil and gas drilling or export facilities, as well as the pipeline infrastructure needed to transport and process oil and gas production. For example, environmental activists continue to advocate for increased regulations or bans on shale drilling and hydraulic fracturing in the United States, even in jurisdictions like Pennsylvania that are among the most stringent in their regulation of the industry. Such activist efforts could result in the following:</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delay or denial of drilling permits or leases;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restrictions on or prevention of installation or operation of production, gathering or processing facilities;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restrictions on or prevention of the use of certain operating practices, such as hydraulic fracturing, or the disposal of related materials, such as hydraulic fracturing fluids and produced water;</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additional regulatory burdens;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increased severance and/or other taxes;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cyberattacks;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legal challenges or lawsuits;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negative publicity about our business or the oil and gas industry in general;</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increased costs of doing business;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reduction in demand for our products; and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other adverse effects on our ability to develop our properties and expand production.</w:t>
      </w:r>
    </w:p>
    <w:p>
      <w:pPr>
        <w:pStyle w:val="TextBody"/>
        <w:bidi w:val="0"/>
        <w:spacing w:before="60" w:after="180"/>
        <w:jc w:val="left"/>
        <w:rPr>
          <w:rFonts w:ascii="Times New Roman" w:hAnsi="Times New Roman"/>
          <w:color w:val="000000"/>
          <w:sz w:val="20"/>
        </w:rPr>
      </w:pPr>
      <w:r>
        <w:rPr>
          <w:rFonts w:ascii="Times New Roman" w:hAnsi="Times New Roman"/>
          <w:color w:val="000000"/>
          <w:sz w:val="20"/>
        </w:rPr>
        <w:t>We may incur significant costs associated with responding to these initiatives and such actions may materially adversely affect our financial results. Complying with any resulting additional legal or regulatory requirements that are substantial or prevent our activity could have a material adverse effect on our business, financial condition, cash flows and results of operations.</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sz w:val="20"/>
        </w:rPr>
      </w:pPr>
      <w:r>
        <w:rPr>
          <w:rFonts w:ascii="Times New Roman" w:hAnsi="Times New Roman"/>
          <w:b/>
          <w:i/>
          <w:color w:val="000000"/>
          <w:sz w:val="20"/>
        </w:rPr>
        <w:t>Conservation measures and technological advances could reduce demand for oil and natural gas</w:t>
      </w:r>
      <w:r>
        <w:rPr>
          <w:rFonts w:ascii="Times New Roman" w:hAnsi="Times New Roman"/>
          <w:color w:val="000000"/>
          <w:sz w:val="20"/>
        </w:rPr>
        <w:t>. Fuel conservation measures, alternative fuel requirements, governmental requirements for renewable energy resources, increasing consumer demand for alternatives to oil and natural gas, technological advances in fuel economy and energy generation or storage devices (such as battery technology) may in the future reduce the demand for, and in turn the prices of, the natural gas, NGLs and oil that we sell. In addition, these measures may reduce the availability to us of necessary third-party services and facilities that we rely on which could increase our operational costs and adversely impact our ability to produce, transport and process natural gas, NGLs and oil. The impact of changing demand for natural gas, NGLs and oil services and products may have a material adverse effect on our business, financial condition, results of operations and cash flows.</w:t>
      </w:r>
    </w:p>
    <w:p>
      <w:pPr>
        <w:pStyle w:val="TextBody"/>
        <w:bidi w:val="0"/>
        <w:jc w:val="left"/>
        <w:rPr>
          <w:rFonts w:ascii="Times New Roman" w:hAnsi="Times New Roman"/>
          <w:b/>
          <w:color w:val="000000"/>
          <w:sz w:val="20"/>
        </w:rPr>
      </w:pPr>
      <w:r>
        <w:rPr>
          <w:rFonts w:ascii="Times New Roman" w:hAnsi="Times New Roman"/>
          <w:b/>
          <w:color w:val="000000"/>
          <w:sz w:val="20"/>
        </w:rPr>
        <w:t>Legal, tax and regulatory risks</w:t>
      </w:r>
    </w:p>
    <w:p>
      <w:pPr>
        <w:pStyle w:val="TextBody"/>
        <w:bidi w:val="0"/>
        <w:spacing w:before="180" w:after="180"/>
        <w:jc w:val="left"/>
        <w:rPr>
          <w:rFonts w:ascii="Times New Roman" w:hAnsi="Times New Roman"/>
          <w:sz w:val="20"/>
        </w:rPr>
      </w:pPr>
      <w:r>
        <w:rPr>
          <w:rFonts w:ascii="Times New Roman" w:hAnsi="Times New Roman"/>
          <w:b/>
          <w:i/>
          <w:color w:val="000000"/>
          <w:sz w:val="20"/>
        </w:rPr>
        <w:t>U.S. or state tax legislation may adversely affect our business, results of operations, financial condition and cash flow.</w:t>
      </w:r>
      <w:r>
        <w:rPr>
          <w:rFonts w:ascii="Times New Roman" w:hAnsi="Times New Roman"/>
          <w:color w:val="000000"/>
          <w:sz w:val="20"/>
        </w:rPr>
        <w:t xml:space="preserve"> Legislation is periodically proposed that could make significant changes to United States federal income tax laws and could include the elimination of certain United States federal income tax benefits currently available to oil and gas exploration and production companies including, but not limited to, (i) the repeal of percentage depletion allowances for oil and natural gas properties; (ii) the elimination of current deductions for intangible drilling and development costs and; (iii) an extension of the amortization period for certain geological and geophysical expenditures. Additionally, legislation could be enacted that imposes new fees or increases the taxes on oil and natural gas extraction, which could result in increased operating costs and/or reduced consumer demand for our products. The passage of any such legislation or any other similar change in United States federal income tax law could increase costs or eliminate or postpone certain tax deductions that are currently available with respect to natural gas and oil exploration and development and any such changes could have an adverse effect on our financial condition, results of operations and cash flows.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July 2025, OBBBA was signed into law which includes, among other things, a permanent reinstatement of 100% bonus depreciation on certain property, plant and equipment assets in the first year placed in service and a domestic research and experimental expenditures deduction. These provisions generally extend or replace provisions within the Tax Cuts &amp; Jobs Act passed in 2017 that were previously set to expire at the end of 2025. While we believe the provisions of OBBBA are largely beneficial to our financial condition and cash flows, compliance with the provisions may result in additional costs and our cash flow may be negatively affected.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2022, legislation commonly known as the Inflation Reduction Act was signed into law, which includes, among other things, a corporate alternative minimum tax (the "CAMT") and a one percent excise tax on corporate stock repurchases. The CAMT generally treats a corporation as an applicable corporation in any taxable year in which the average annual adjusted financial statement income for a three taxable-year period ending prior to such taxable year exceeds $1.0 billion. If we become subject to CAMT, our cash obligations for U.S. federal income taxes could be significantly accelerated. To the extent the 1% excise tax applies to repurchases of shares under our common stock repurchases program, the number of shares we repurchase and our cash flow may be affected.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In 2012, Pennsylvania enacted legislation creating a tax referred to as the natural gas impact fee applicable to production in Pennsylvania, where essentially all of our acreage is located. The legislation imposes an annual fee on natural gas and oil operators for each well drilled for a period of fifteen years. Much like a severance tax, the fee is on a sliding scale set by the Pennsylvania Public Utility Commission and is based on two factors: changes in the Consumer Price Index and the average NYMEX natural gas prices on the last day of each month. The impact fee increases the financial burden on our operations in the Marcellus Shale. There can be no assurance that the impact fee will remain as currently structured or that additional taxes will not be imposed. From time to time, the Pennsylvania Governor and various Pennsylvania state lawmakers have proposed legislation to enact a severance tax in substitution for, or as an addition to, the impact fee already in place. The structure of and ultimate effect of any additional tax burden cannot be estimated at this time but could be material. </w:t>
      </w:r>
    </w:p>
    <w:p>
      <w:pPr>
        <w:pStyle w:val="TextBody"/>
        <w:bidi w:val="0"/>
        <w:spacing w:before="0" w:after="180"/>
        <w:jc w:val="left"/>
        <w:rPr>
          <w:rFonts w:ascii="Times New Roman" w:hAnsi="Times New Roman"/>
          <w:sz w:val="20"/>
        </w:rPr>
      </w:pPr>
      <w:r>
        <w:rPr>
          <w:rFonts w:ascii="Times New Roman" w:hAnsi="Times New Roman"/>
          <w:b/>
          <w:i/>
          <w:color w:val="000000"/>
          <w:sz w:val="20"/>
        </w:rPr>
        <w:t>Legal proceedings brought against us could result in substantial liabilities and materially and adversely impact our financial condition</w:t>
      </w:r>
      <w:r>
        <w:rPr>
          <w:rFonts w:ascii="Times New Roman" w:hAnsi="Times New Roman"/>
          <w:color w:val="000000"/>
          <w:sz w:val="20"/>
        </w:rPr>
        <w:t>. Like many oil and gas companies, we are involved in various legal proceedings, including threatened claims, such as title, royalty, and contractual disputes. The cost to settle legal proceedings (asserted or unasserted) or satisfy any resulting judgment against us in such proceedings could result in a substantial liability or the loss of interests, which could materially and adversely impact our cash flows, operating results and financial condition. Judgments and estimates to determine accruals or range of losses related to legal proceedings could change from one period to the next, and such changes could be material. Current accruals may be insufficient to satisfy any such judgments. Legal proceedings could also result in negative publicity about Range. In addition, legal proceedings distract management and other personnel from their primary responsibilities. At this time, based on the information available to management, there are no pending claims or litigation which appear likely to result in a material financial impact. However, management’s assessment of pending claims and litigation could be inaccurate and subsequent events could result in material liabilities from such claims or litigation.</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sz w:val="20"/>
        </w:rPr>
      </w:pPr>
      <w:r>
        <w:rPr>
          <w:rFonts w:ascii="Times New Roman" w:hAnsi="Times New Roman"/>
          <w:b/>
          <w:color w:val="000000"/>
          <w:sz w:val="20"/>
        </w:rPr>
        <w:t>Risks related to our common stock</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i/>
          <w:color w:val="000000"/>
          <w:sz w:val="20"/>
        </w:rPr>
        <w:t>Common stockholders may be diluted if additional shares are issued</w:t>
      </w:r>
      <w:r>
        <w:rPr>
          <w:rFonts w:ascii="Times New Roman" w:hAnsi="Times New Roman"/>
          <w:color w:val="000000"/>
          <w:sz w:val="20"/>
        </w:rPr>
        <w:t>. In order to align interests and encourage ownership, we issue restricted stock, restricted stock units and performance share units to our employees and directors as part of their compensation. In addition, we may issue additional shares of common stock, additional senior notes or other securities or debt convertible into common stock to extend maturities or fund capital expenditures, including acquisitions. The issuance of additional shares of common stock results in dilution of the interests of existing stockholders. One way to reverse the effects of dilution is by the acquisition of our stock. On December 31, 2025, our share repurchase program had $785.5 million remaining authorization. However, this program may be suspended, modified or discontinued by our board of directors at any time.</w:t>
      </w:r>
    </w:p>
    <w:p>
      <w:pPr>
        <w:pStyle w:val="TextBody"/>
        <w:bidi w:val="0"/>
        <w:spacing w:before="180" w:after="180"/>
        <w:jc w:val="left"/>
        <w:rPr>
          <w:rFonts w:ascii="Times New Roman" w:hAnsi="Times New Roman"/>
          <w:sz w:val="20"/>
        </w:rPr>
      </w:pPr>
      <w:r>
        <w:rPr>
          <w:rFonts w:ascii="Times New Roman" w:hAnsi="Times New Roman"/>
          <w:b/>
          <w:i/>
          <w:color w:val="000000"/>
          <w:sz w:val="20"/>
        </w:rPr>
        <w:t>Our stock price may be volatile and stockholders may not be able to resell shares of our common stock at or above the price they paid</w:t>
      </w:r>
      <w:r>
        <w:rPr>
          <w:rFonts w:ascii="Times New Roman" w:hAnsi="Times New Roman"/>
          <w:color w:val="000000"/>
          <w:sz w:val="20"/>
        </w:rPr>
        <w:t xml:space="preserve">. The price of our common stock fluctuates significantly, which may result in losses for investors. The market price of our common stock has been volatile. From January 1, 2023 to December 31, 2025, the price of our common stock reported by the New York Stock Exchange ranged from a low of $22.61 per share to a high of $43.50 per share. We expect our stock price to continue to be subject to volatility as a result of a variety of factors, including factors beyond our control. These factors include: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most significantly, changes in natural gas, NGLs and oil prices;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global economic conditions;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fluctuations in the broader equity market;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variations in drilling, recompletions, acquisitions and operating results;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changes in governmental regulation and/or taxation;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changes in financial estimates by securities analysts;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changes in market valuations of comparable companies;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expectations regarding our capital program, including any determination by our board of directors regarding repurchasing stock or paying dividends;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changes in key personnel; or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future sales of additional stock and changes in our capital structure. </w:t>
      </w:r>
    </w:p>
    <w:p>
      <w:pPr>
        <w:pStyle w:val="TextBody"/>
        <w:bidi w:val="0"/>
        <w:spacing w:before="60" w:after="180"/>
        <w:jc w:val="left"/>
        <w:rPr>
          <w:rFonts w:ascii="Times New Roman" w:hAnsi="Times New Roman"/>
          <w:color w:val="000000"/>
          <w:sz w:val="20"/>
        </w:rPr>
      </w:pPr>
      <w:r>
        <w:rPr>
          <w:rFonts w:ascii="Times New Roman" w:hAnsi="Times New Roman"/>
          <w:color w:val="000000"/>
          <w:sz w:val="20"/>
        </w:rPr>
        <w:t>We may fail to meet expectations of our stockholders or of securities analysts at some time in the future and our stock price could decline as a result. Payment of dividends may be limited or prevented due to the restrictions that are defined within our bank credit facility.</w:t>
      </w:r>
    </w:p>
    <w:p>
      <w:pPr>
        <w:pStyle w:val="TextBody"/>
        <w:bidi w:val="0"/>
        <w:jc w:val="left"/>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180" w:after="180"/>
        <w:jc w:val="left"/>
        <w:rPr>
          <w:rFonts w:ascii="Times New Roman" w:hAnsi="Times New Roman"/>
          <w:sz w:val="20"/>
        </w:rPr>
      </w:pPr>
      <w:r>
        <w:rPr>
          <w:rFonts w:ascii="Times New Roman" w:hAnsi="Times New Roman"/>
          <w:b/>
          <w:i/>
          <w:color w:val="000000"/>
          <w:sz w:val="20"/>
        </w:rPr>
        <w:t>Our business could be negatively affected by security threats, including cybersecurity threats and other disruptions</w:t>
      </w:r>
      <w:r>
        <w:rPr>
          <w:rFonts w:ascii="Times New Roman" w:hAnsi="Times New Roman"/>
          <w:color w:val="000000"/>
          <w:sz w:val="20"/>
        </w:rPr>
        <w:t>. The United States government has issued public warnings that indicate that energy assets might be specific targets of cybersecurity threats. As a natural gas, NGLs and oil producer, we face various security threats, including:</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cybersecurity threats to gain unauthorized access to sensitive information or to render data or computer systems unusable, which may become more sophisticated with the use of artificial intelligence;</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threats to the security or operations at our physical facilities and infrastructure or third-party facilities and infrastructure, such as processing plants and pipelines; or</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threats from terrorist acts or other geopolitical events.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Digital technologies are an integral part of our business and are used to support our exploration, development and production activities and our key accounting and financial reporting functions. We use these systems to analyze and store financial and operating data and to communicate internally and with outside business counterparties. Cyberattacks could compromise our core infrastructure and digital technologies and result in disruptions to our business operations or the loss of our data and proprietary information. In addition, digital technologies control oil and gas production, processing equipment, and distribution systems globally and are necessary to deliver our production to market. A cyberattack against these operating systems, or the networks and infrastructure on which they rely, could damage critical production, distribution and/or storage assets, delay or prevent delivery to markets, cause accidental discharge and/or make it difficult or impossible to accurately account for production and settle transactions. A cyberattack on a vendor or a service provider could result in supply chain disruptions, which could delay or halt development projects. A cyberattack on our accounting or human resources systems could expose us to liability if confidential and/or personal information is obtained. Furthermore, the shift to a hybrid systems model including on-premises and cloud environments has transformed how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systems interconnect, how data is stored, how users interact with applications and what end user devices are utilized. This shift has resulted in additional cybersecurity risk.</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Security threats have subjected our operations to increased risks that could have a material adverse effect on our business. In particular, our implementation of various procedures and controls to monitor and mitigate security threats and to increase security for our personnel, information, facilities and infrastructure may result in increased capital and operating costs. Moreover, there can be no assurance that such procedures and controls will be sufficient to prevent security breaches from occurring. If any of these security breaches were to occur, they could lead to harm to our employees or losses of sensitive information, losses of critical infrastructure or capabilities essential to our operations and could have a material adverse effect on our reputation, financial position, results of operations or cash flows. Attackers are becoming more sophisticated and both the frequency and magnitude of cyberattacks in particular are expected to increase and include, but are not limited to, malicious software, phishing, ransomware, attempts to gain unauthorized access to data, and other electronic security breaches that could lead to disruptions in critical systems, unauthorized release of confidential or otherwise protected information, and corruption of data. These events could damage our reputation and lead to financial losses from unauthorized disbursement of funds, remedial actions, loss of business and/or potential liability. We may be unable to anticipate, detect or prevent future attacks, particularly as methodologies utilized by attackers change frequently and are not recognized until launched. Additionally, the continuing and evolving threat of cybersecurity attacks has resulted in evolving legal and compliance matters, including increased regulatory focus on prevention, which could require us to expend significant additional resources to meet such requirements. While we utilize extensive processes and procedures that we deem appropriate to counter cybersecurity risks and to date have not suffered any material losses relating to such attacks, there can be no assurance that we will not suffer such losses in the future. Any losses, costs or liabilities directly or indirectly related to cyberattacks or similar incidents may not be covered by, or may exceed the coverage limits of, any of our insurance policies.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Terrorist attacks and the threat of terrorist attacks, whether domestic or foreign attacks, as well as military or other actions taken in response to these acts, could cause instability in the global financial and energy markets. Continued hostilities in areas around the world and the occurrence or threat of terrorist attacks in the United States, other countries or international waters could adversely affect the global economy in unpredictable ways, including the disruption of energy supplies and markets, increased volatility in commodity prices or the possibility that the infrastructure on which we rely could be a direct target or an indirect casualty of an act of terrorism and, in turn, could materially and adversely affect our business and results of operations.</w:t>
      </w:r>
    </w:p>
    <w:p>
      <w:pPr>
        <w:pStyle w:val="TextBody"/>
        <w:bidi w:val="0"/>
        <w:spacing w:before="0" w:after="180"/>
        <w:jc w:val="left"/>
        <w:rPr>
          <w:rFonts w:ascii="Times New Roman" w:hAnsi="Times New Roman"/>
          <w:sz w:val="20"/>
        </w:rPr>
      </w:pPr>
      <w:bookmarkStart w:id="25" w:name="item_1b_unresolved_staff_comments"/>
      <w:bookmarkEnd w:id="25"/>
      <w:r>
        <w:rPr>
          <w:rFonts w:ascii="Times New Roman" w:hAnsi="Times New Roman"/>
          <w:b/>
          <w:color w:val="000000"/>
          <w:sz w:val="20"/>
        </w:rPr>
        <w:t>ITEM 1B. UNRESOLVED STAFF COMMENTS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0" w:after="180"/>
        <w:jc w:val="left"/>
        <w:rPr>
          <w:rFonts w:ascii="Times New Roman" w:hAnsi="Times New Roman"/>
          <w:b/>
          <w:color w:val="000000"/>
          <w:sz w:val="20"/>
        </w:rPr>
      </w:pPr>
      <w:bookmarkStart w:id="26" w:name="cybersecurity"/>
      <w:bookmarkEnd w:id="26"/>
      <w:r>
        <w:rPr>
          <w:rFonts w:ascii="Times New Roman" w:hAnsi="Times New Roman"/>
          <w:b/>
          <w:color w:val="000000"/>
          <w:sz w:val="20"/>
        </w:rPr>
        <w:t>ITEM 1C. CYBERSECURITY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have a comprehensive approach to mitigate cybersecurity risk which primarily focuses on three key elements: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people – security awareness education and readiness-testing throughout the year for employees;</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color w:val="000000"/>
          <w:sz w:val="20"/>
        </w:rPr>
        <w:t>process – incorporating cyber awareness in our day-to-day processes which includes oversight of systems that detect and alert trained personnel of cybersecurity threats, regular review of security posture and security roadmap to ensure alignment throughout the organization, physical and digital asset protection and cybersecurity vulnerability remediation via preventable and detective measures;</w:t>
      </w:r>
      <w:r>
        <w:rPr>
          <w:color w:val="000000"/>
        </w:rPr>
        <w:t xml:space="preserve"> </w:t>
      </w:r>
      <w:r>
        <w:rPr>
          <w:rFonts w:ascii="Times New Roman" w:hAnsi="Times New Roman"/>
          <w:color w:val="000000"/>
          <w:sz w:val="20"/>
        </w:rPr>
        <w:t xml:space="preserve">and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technology – investing in industry aligned security technology and threat intelligence capabilities.</w:t>
      </w:r>
    </w:p>
    <w:p>
      <w:pPr>
        <w:pStyle w:val="TextBody"/>
        <w:bidi w:val="0"/>
        <w:spacing w:before="60" w:after="180"/>
        <w:jc w:val="left"/>
        <w:rPr>
          <w:rFonts w:ascii="Times New Roman" w:hAnsi="Times New Roman"/>
          <w:color w:val="000000"/>
          <w:sz w:val="20"/>
        </w:rPr>
      </w:pPr>
      <w:r>
        <w:rPr>
          <w:rFonts w:ascii="Times New Roman" w:hAnsi="Times New Roman"/>
          <w:color w:val="000000"/>
          <w:sz w:val="20"/>
        </w:rPr>
        <w:t>Cybersecurity governance is supported by our information technology department which includes certified security professionals and seasoned security analysts. This department conducts extensive ongoing reviews of our security initiatives to assess the current state of our program (using a cybersecurity framework) and potential evolution based on current business risks along with detection and communication of cybersecurity threats and actions to mitigate those threats. Our Director of IT Security is responsible for assessing, monitoring and managing risks from cybersecurity threats, overseeing our overall cybersecurity risk management program which includes prevention, mitigation, detection and remediation of cybersecurity incidents and supervises a team of cybersecurity personnel. Our Director of IT Security reports to our VP – Information Technology and is responsible for reporting material incidents to our Cybersecurity Risk Management Committee (“CRMC”) that includes officers charged with reporting responsibilities. Cybersecurity incidents that meet a pre-determined minimum threshold are communicated upward to executive officers to determine overall materiality and disclosure obligations. Our Director of IT Security keeps the CRMC apprised of our processes to prevent, detect, mitigate and remediate cybersecurity incidents at least annually. Our internal cybersecurity team led by our Director of IT Security has over 75 years of combined experience in information security and maintains several cybersecurity certificates.</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We conduct security assessments, manage user access, perform vulnerability scanning and patching, oversee monitoring and carry out annual penetration testing, in addition to other critical security functions. In conjunction with our internal team, we utilize an independent third-party operations center that is focused on, but not limited to, monitoring alerts, logs, behavior analytics, vulnerability notifications and remediation guidance. Critical infrastructure is continuously monitored to ensure accessibility and appropriate security posture. We also perform reviews and risk analysis for third-party software and platforms which sets a standardized security baseline. We monitor known third-party breaches, known software vulnerabilities that may affect third-party vendors and communicate as necessary with those vendors, allowing us to increase security of our technology assets and our data. In addition, we perform an annual cybersecurity risk assessment of critical third-party systems.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board of directors oversees our cybersecurity risk and receives, at a minimum, a quarterly cybersecurity report and a biannual update from IT leadership, which includes additional discussions of any relevant issues related to the understanding of technology and cybersecurity risk that may be relevant at any given time. This report includes, among other things, information regarding our current security posture and ongoing cybersecurity events. Cybersecurity incidents meeting a pre-determined minimum threshold are communicated to our board of directors.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To date, there have been no risks from cybersecurity incidents which have materially affected, or have been reasonably likely to materially affect us, including our business strategy, results of operations or financial condition. Notwithstanding the extensive approach we take to cybersecurity, we may not be successful in preventing or mitigating a cybersecurity incident that could have a material adverse effect on us. For more information on our cybersecurity related risks, see Item 1A. Risk Factors of this Annual Report on Form 10-K.</w:t>
      </w:r>
    </w:p>
    <w:p>
      <w:pPr>
        <w:pStyle w:val="TextBody"/>
        <w:bidi w:val="0"/>
        <w:spacing w:before="0" w:after="180"/>
        <w:jc w:val="left"/>
        <w:rPr>
          <w:rFonts w:ascii="Times New Roman" w:hAnsi="Times New Roman"/>
          <w:sz w:val="20"/>
        </w:rPr>
      </w:pPr>
      <w:bookmarkStart w:id="27" w:name="item_3_legal_proceedings"/>
      <w:bookmarkEnd w:id="27"/>
      <w:r>
        <w:rPr>
          <w:rFonts w:ascii="Times New Roman" w:hAnsi="Times New Roman"/>
          <w:b/>
          <w:color w:val="000000"/>
          <w:sz w:val="20"/>
        </w:rPr>
        <w:t>ITEM 3. LEGAL PROCEEDINGS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We are the subject of, or party to, a number of pending or threatened legal actions, administrative proceedings or investigations arising in the ordinary course of our business including, but not limited to royalty claims, contract claims and environmental claims. While many of these matters involve inherent uncertainty, we believe that the amount of the liability, if any, ultimately incurred with respect to these actions, proceedings or investigations will not have a material adverse effect on our consolidated financial position as a whole or on our liquidity, capital resources or future annual results of operations. We will continue to evaluate our litigation quarterly and will establish and adjust any litigation reserves as appropriate to reflect our assessment of the then-current status of litigation.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Environmental Proceedings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From time to time, we receive notices of violation from governmental and regulatory authorities in areas in which we operate relating to alleged violations of environmental statutes or the rules and regulations promulgated thereunder. While we cannot predict with certainty whether these notices of violation will result in fines and/or penalties, if fines and/or penalties are imposed, they may result in monetary sanctions, individually or in the aggregate, in excess of $250,000.</w:t>
      </w:r>
    </w:p>
    <w:p>
      <w:pPr>
        <w:pStyle w:val="TextBody"/>
        <w:bidi w:val="0"/>
        <w:spacing w:before="0" w:after="180"/>
        <w:jc w:val="left"/>
        <w:rPr>
          <w:rFonts w:ascii="Times New Roman" w:hAnsi="Times New Roman"/>
          <w:sz w:val="20"/>
        </w:rPr>
      </w:pPr>
      <w:bookmarkStart w:id="28" w:name="item_4_mine_safety_disclosures"/>
      <w:bookmarkEnd w:id="28"/>
      <w:r>
        <w:rPr>
          <w:rFonts w:ascii="Times New Roman" w:hAnsi="Times New Roman"/>
          <w:b/>
          <w:color w:val="000000"/>
          <w:sz w:val="20"/>
        </w:rPr>
        <w:t>ITEM 4. MINE SAFETY DISCLOSURES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center"/>
        <w:rPr>
          <w:rFonts w:ascii="Times New Roman" w:hAnsi="Times New Roman"/>
          <w:sz w:val="20"/>
        </w:rPr>
      </w:pPr>
      <w:r>
        <w:rPr>
          <w:rFonts w:ascii="Times New Roman" w:hAnsi="Times New Roman"/>
          <w:b/>
          <w:caps/>
          <w:color w:val="000000"/>
          <w:sz w:val="20"/>
        </w:rPr>
        <w:t>PART II</w:t>
      </w:r>
      <w:r>
        <w:rPr>
          <w:rFonts w:ascii="Times New Roman" w:hAnsi="Times New Roman"/>
          <w:caps/>
          <w:color w:val="000000"/>
          <w:sz w:val="20"/>
        </w:rPr>
        <w:t xml:space="preserve"> </w:t>
      </w:r>
    </w:p>
    <w:p>
      <w:pPr>
        <w:pStyle w:val="TextBody"/>
        <w:bidi w:val="0"/>
        <w:spacing w:before="0" w:after="180"/>
        <w:jc w:val="left"/>
        <w:rPr>
          <w:rFonts w:ascii="Times New Roman" w:hAnsi="Times New Roman"/>
          <w:sz w:val="20"/>
        </w:rPr>
      </w:pPr>
      <w:bookmarkStart w:id="29" w:name="market_for_registrants_common"/>
      <w:bookmarkEnd w:id="29"/>
      <w:r>
        <w:rPr>
          <w:rFonts w:ascii="Times New Roman" w:hAnsi="Times New Roman"/>
          <w:b/>
          <w:color w:val="000000"/>
          <w:sz w:val="20"/>
        </w:rPr>
        <w:t>ITEM 5. MARKET FOR REGISTRANT’S COMMON EQUITY, RELATED STOCKHOLDER MATTERS AND ISSUER PURCHASES OF EQUITY SECURITIES</w:t>
      </w:r>
      <w:r>
        <w:rPr>
          <w:rFonts w:ascii="Times New Roman" w:hAnsi="Times New Roman"/>
          <w:color w:val="000000"/>
          <w:sz w:val="20"/>
        </w:rPr>
        <w:t xml:space="preserve"> </w:t>
      </w:r>
    </w:p>
    <w:p>
      <w:pPr>
        <w:pStyle w:val="TextBody"/>
        <w:bidi w:val="0"/>
        <w:spacing w:before="0" w:after="180"/>
        <w:jc w:val="left"/>
        <w:rPr>
          <w:rFonts w:ascii="Times New Roman" w:hAnsi="Times New Roman"/>
          <w:sz w:val="20"/>
        </w:rPr>
      </w:pPr>
      <w:bookmarkStart w:id="30" w:name="market_for_common_stock"/>
      <w:bookmarkEnd w:id="30"/>
      <w:r>
        <w:rPr>
          <w:rFonts w:ascii="Times New Roman" w:hAnsi="Times New Roman"/>
          <w:b/>
          <w:color w:val="000000"/>
          <w:sz w:val="20"/>
        </w:rPr>
        <w:t>Market for Common Stock</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Our common stock is listed on the NYSE under the symbol "RRC." During 2025, trading volume averaged approximately 2.9 million shares per day. </w:t>
      </w:r>
    </w:p>
    <w:p>
      <w:pPr>
        <w:pStyle w:val="TextBody"/>
        <w:bidi w:val="0"/>
        <w:spacing w:before="0" w:after="180"/>
        <w:jc w:val="left"/>
        <w:rPr>
          <w:rFonts w:ascii="Times New Roman" w:hAnsi="Times New Roman"/>
          <w:b/>
          <w:color w:val="000000"/>
          <w:sz w:val="20"/>
        </w:rPr>
      </w:pPr>
      <w:bookmarkStart w:id="31" w:name="holders_of_record"/>
      <w:bookmarkEnd w:id="31"/>
      <w:r>
        <w:rPr>
          <w:rFonts w:ascii="Times New Roman" w:hAnsi="Times New Roman"/>
          <w:b/>
          <w:color w:val="000000"/>
          <w:sz w:val="20"/>
        </w:rPr>
        <w:t>Holders of Record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Pursuant to the records of our transfer agent, as of February 20, 2026, there were approximately 795 registered holders of record of our common stock. </w:t>
      </w:r>
    </w:p>
    <w:p>
      <w:pPr>
        <w:pStyle w:val="TextBody"/>
        <w:bidi w:val="0"/>
        <w:spacing w:before="0" w:after="180"/>
        <w:jc w:val="left"/>
        <w:rPr>
          <w:rFonts w:ascii="Times New Roman" w:hAnsi="Times New Roman"/>
          <w:sz w:val="20"/>
        </w:rPr>
      </w:pPr>
      <w:bookmarkStart w:id="32" w:name="dividends"/>
      <w:bookmarkEnd w:id="32"/>
      <w:r>
        <w:rPr>
          <w:rFonts w:ascii="Times New Roman" w:hAnsi="Times New Roman"/>
          <w:b/>
          <w:color w:val="000000"/>
          <w:sz w:val="20"/>
        </w:rPr>
        <w:t>Dividends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payment of dividends is subject to the formal declaration by the board of directors. The determination of the amount of future dividends, if any, to be declared and paid is at the sole discretion of our board of directors and will depend upon, among other things, our earnings, financial condition, capital requirements, levels of indebtedness and other considerations our board of directors deems relevant. For more information, see Item 7. Management’s Discussion and Analysis of Financial Condition and Results of Operations.</w:t>
      </w:r>
    </w:p>
    <w:p>
      <w:pPr>
        <w:pStyle w:val="TextBody"/>
        <w:bidi w:val="0"/>
        <w:spacing w:before="0" w:after="180"/>
        <w:jc w:val="left"/>
        <w:rPr>
          <w:rFonts w:ascii="Times New Roman" w:hAnsi="Times New Roman"/>
          <w:sz w:val="20"/>
        </w:rPr>
      </w:pPr>
      <w:bookmarkStart w:id="33" w:name="equity_compensation_plan"/>
      <w:bookmarkEnd w:id="33"/>
      <w:r>
        <w:rPr>
          <w:rFonts w:ascii="Times New Roman" w:hAnsi="Times New Roman"/>
          <w:b/>
          <w:color w:val="000000"/>
          <w:sz w:val="20"/>
        </w:rPr>
        <w:t>Equity Compensation Plan Information</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information required by this item is incorporated herein by reference to our 2026 Proxy Statement, which will be filed with the SEC not later than 120 days after December 31, 2025.</w:t>
      </w:r>
    </w:p>
    <w:p>
      <w:pPr>
        <w:pStyle w:val="TextBody"/>
        <w:bidi w:val="0"/>
        <w:spacing w:before="0" w:after="180"/>
        <w:jc w:val="left"/>
        <w:rPr>
          <w:rFonts w:ascii="Times New Roman" w:hAnsi="Times New Roman"/>
          <w:b/>
          <w:color w:val="000000"/>
          <w:sz w:val="20"/>
        </w:rPr>
      </w:pPr>
      <w:bookmarkStart w:id="34" w:name="purchase_of_equity_securities"/>
      <w:bookmarkEnd w:id="34"/>
      <w:r>
        <w:rPr>
          <w:rFonts w:ascii="Times New Roman" w:hAnsi="Times New Roman"/>
          <w:b/>
          <w:color w:val="000000"/>
          <w:sz w:val="20"/>
        </w:rPr>
        <w:t>Purchases of Equity Securities by the Issuer and Affiliated Purchasers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2019, our board of directors authorized a common stock repurchase program. In 2022, our board of directors increased the authorization under the program. Shares repurchased as of December 31, 2025, were held as treasury stock and we have approximately $785.5 million of remaining authorization under the program. These repurchases are based on trade date, although certain repurchases may not have settled until the following month. Purchases of our common stock in fourth quarter 2025 were as follows:</w:t>
      </w:r>
    </w:p>
    <w:p>
      <w:pPr>
        <w:pStyle w:val="TextBody"/>
        <w:bidi w:val="0"/>
        <w:spacing w:before="0" w:after="120"/>
        <w:jc w:val="left"/>
        <w:rPr/>
      </w:pPr>
      <w:r>
        <w:rPr/>
        <w:t> </w:t>
      </w:r>
    </w:p>
    <w:tbl>
      <w:tblPr>
        <w:tblW w:w="9824" w:type="dxa"/>
        <w:jc w:val="left"/>
        <w:tblInd w:w="0" w:type="dxa"/>
        <w:tblLayout w:type="fixed"/>
        <w:tblCellMar>
          <w:top w:w="28" w:type="dxa"/>
          <w:left w:w="28" w:type="dxa"/>
          <w:bottom w:w="28" w:type="dxa"/>
          <w:right w:w="28" w:type="dxa"/>
        </w:tblCellMar>
      </w:tblPr>
      <w:tblGrid>
        <w:gridCol w:w="1276"/>
        <w:gridCol w:w="146"/>
        <w:gridCol w:w="187"/>
        <w:gridCol w:w="1058"/>
        <w:gridCol w:w="146"/>
        <w:gridCol w:w="146"/>
        <w:gridCol w:w="399"/>
        <w:gridCol w:w="1041"/>
        <w:gridCol w:w="146"/>
        <w:gridCol w:w="146"/>
        <w:gridCol w:w="468"/>
        <w:gridCol w:w="2652"/>
        <w:gridCol w:w="146"/>
        <w:gridCol w:w="146"/>
        <w:gridCol w:w="249"/>
        <w:gridCol w:w="1281"/>
        <w:gridCol w:w="191"/>
      </w:tblGrid>
      <w:tr>
        <w:trPr/>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26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Total Number </w:t>
              <w:br/>
              <w:t xml:space="preserve">of Shares </w:t>
              <w:br/>
              <w:t>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Average Price </w:t>
              <w:br/>
              <w:t xml:space="preserve">Paid Per Share </w:t>
            </w:r>
            <w:r>
              <w:rPr>
                <w:rFonts w:ascii="Times New Roman" w:hAnsi="Times New Roman"/>
                <w:b/>
                <w:color w:val="000000"/>
                <w:sz w:val="12"/>
              </w:rPr>
              <w: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Total Number </w:t>
              <w:br/>
              <w:t>of Shares Purchased as Part of Publicly</w:t>
              <w:br/>
              <w:t xml:space="preserve">Announced Plans </w:t>
              <w:br/>
              <w:t>or 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Approximate</w:t>
              <w:br/>
              <w:t>Dollar Amount</w:t>
              <w:br/>
              <w:t>of Shares that</w:t>
              <w:br/>
              <w:t>May Yet Be</w:t>
              <w:br/>
              <w:t>Purchased Under</w:t>
              <w:br/>
              <w:t>Plans or Programs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October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239,289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239,289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831,049,000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November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821,659,000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December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1,002,600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1,002,600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785,530,000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1,489,289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1,489,289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tbl>
      <w:tblPr>
        <w:tblW w:w="6737" w:type="dxa"/>
        <w:jc w:val="left"/>
        <w:tblInd w:w="0" w:type="dxa"/>
        <w:tblLayout w:type="fixed"/>
        <w:tblCellMar>
          <w:top w:w="28" w:type="dxa"/>
          <w:left w:w="28" w:type="dxa"/>
          <w:bottom w:w="28" w:type="dxa"/>
          <w:right w:w="28" w:type="dxa"/>
        </w:tblCellMar>
      </w:tblPr>
      <w:tblGrid>
        <w:gridCol w:w="271"/>
        <w:gridCol w:w="6466"/>
      </w:tblGrid>
      <w:tr>
        <w:trPr/>
        <w:tc>
          <w:tcPr>
            <w:tcW w:w="271" w:type="dxa"/>
            <w:tcBorders/>
            <w:vAlign w:val="center"/>
          </w:tcPr>
          <w:p>
            <w:pPr>
              <w:pStyle w:val="TableContents"/>
              <w:bidi w:val="0"/>
              <w:spacing w:before="0" w:after="283"/>
              <w:jc w:val="left"/>
              <w:rPr>
                <w:sz w:val="4"/>
                <w:szCs w:val="4"/>
              </w:rPr>
            </w:pPr>
            <w:r>
              <w:rPr>
                <w:sz w:val="4"/>
                <w:szCs w:val="4"/>
              </w:rPr>
            </w:r>
          </w:p>
        </w:tc>
        <w:tc>
          <w:tcPr>
            <w:tcW w:w="6466" w:type="dxa"/>
            <w:tcBorders/>
            <w:vAlign w:val="center"/>
          </w:tcPr>
          <w:p>
            <w:pPr>
              <w:pStyle w:val="TableContents"/>
              <w:bidi w:val="0"/>
              <w:spacing w:before="0" w:after="283"/>
              <w:jc w:val="left"/>
              <w:rPr>
                <w:sz w:val="4"/>
                <w:szCs w:val="4"/>
              </w:rPr>
            </w:pPr>
            <w:r>
              <w:rPr>
                <w:sz w:val="4"/>
                <w:szCs w:val="4"/>
              </w:rPr>
            </w:r>
          </w:p>
        </w:tc>
      </w:tr>
      <w:tr>
        <w:trPr/>
        <w:tc>
          <w:tcPr>
            <w:tcW w:w="27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2"/>
              </w:rPr>
            </w:pPr>
            <w:r>
              <w:rPr>
                <w:rFonts w:ascii="Times New Roman" w:hAnsi="Times New Roman"/>
                <w:color w:val="000000"/>
                <w:sz w:val="12"/>
              </w:rPr>
              <w:t>(a)</w:t>
            </w:r>
          </w:p>
        </w:tc>
        <w:tc>
          <w:tcPr>
            <w:tcW w:w="646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Includes any fees, commissions, or other expenses associated with the share repurchases.</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b/>
          <w:color w:val="000000"/>
          <w:sz w:val="20"/>
        </w:rPr>
      </w:pPr>
      <w:bookmarkStart w:id="35" w:name="stockholder_return_performance"/>
      <w:bookmarkEnd w:id="35"/>
      <w:r>
        <w:rPr>
          <w:rFonts w:ascii="Times New Roman" w:hAnsi="Times New Roman"/>
          <w:b/>
          <w:color w:val="000000"/>
          <w:sz w:val="20"/>
        </w:rPr>
        <w:t>Stockholder Return Performance Presentation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following graph is included in accordance with the SEC’s executive compensation disclosure rules. This historic stock price performance is not necessarily indicative of future stock performance. The graph compares the change in the cumulative total return of Range’s common stock, the S&amp;P Oil and Gas Exploration and Production Index, the S&amp;P Small Cap 600 Index and a customized peer group which matches the peer group selected by our compensation committee of the board of directors which is used in our performance unit program. The graph assumes that $100 was invested in the Company’s common stock and each index on December 31, 2020 and that dividends were reinvested. </w:t>
      </w:r>
    </w:p>
    <w:p>
      <w:pPr>
        <w:pStyle w:val="TextBody"/>
        <w:bidi w:val="0"/>
        <w:spacing w:before="0" w:after="180"/>
        <w:jc w:val="center"/>
        <w:rPr/>
      </w:pPr>
      <w:r>
        <w:rPr/>
        <w:drawing>
          <wp:inline distT="0" distB="0" distL="0" distR="0">
            <wp:extent cx="6048375" cy="28194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4"/>
                    <a:stretch>
                      <a:fillRect/>
                    </a:stretch>
                  </pic:blipFill>
                  <pic:spPr bwMode="auto">
                    <a:xfrm>
                      <a:off x="0" y="0"/>
                      <a:ext cx="6048375" cy="2819400"/>
                    </a:xfrm>
                    <a:prstGeom prst="rect">
                      <a:avLst/>
                    </a:prstGeom>
                  </pic:spPr>
                </pic:pic>
              </a:graphicData>
            </a:graphic>
          </wp:inline>
        </w:drawing>
      </w:r>
    </w:p>
    <w:p>
      <w:pPr>
        <w:pStyle w:val="TextBody"/>
        <w:bidi w:val="0"/>
        <w:jc w:val="center"/>
        <w:rPr/>
      </w:pPr>
      <w:r>
        <w:rPr/>
        <w:t> </w:t>
      </w:r>
    </w:p>
    <w:p>
      <w:pPr>
        <w:pStyle w:val="TextBody"/>
        <w:bidi w:val="0"/>
        <w:spacing w:before="60" w:after="60"/>
        <w:jc w:val="center"/>
        <w:rPr/>
      </w:pPr>
      <w:r>
        <w:rPr/>
        <w:t> </w:t>
      </w:r>
    </w:p>
    <w:tbl>
      <w:tblPr>
        <w:tblW w:w="9434" w:type="dxa"/>
        <w:jc w:val="left"/>
        <w:tblInd w:w="0" w:type="dxa"/>
        <w:tblLayout w:type="fixed"/>
        <w:tblCellMar>
          <w:top w:w="28" w:type="dxa"/>
          <w:left w:w="28" w:type="dxa"/>
          <w:bottom w:w="28" w:type="dxa"/>
          <w:right w:w="28" w:type="dxa"/>
        </w:tblCellMar>
      </w:tblPr>
      <w:tblGrid>
        <w:gridCol w:w="3991"/>
        <w:gridCol w:w="211"/>
        <w:gridCol w:w="421"/>
        <w:gridCol w:w="146"/>
        <w:gridCol w:w="146"/>
        <w:gridCol w:w="211"/>
        <w:gridCol w:w="421"/>
        <w:gridCol w:w="146"/>
        <w:gridCol w:w="146"/>
        <w:gridCol w:w="211"/>
        <w:gridCol w:w="421"/>
        <w:gridCol w:w="146"/>
        <w:gridCol w:w="146"/>
        <w:gridCol w:w="211"/>
        <w:gridCol w:w="421"/>
        <w:gridCol w:w="146"/>
        <w:gridCol w:w="146"/>
        <w:gridCol w:w="211"/>
        <w:gridCol w:w="421"/>
        <w:gridCol w:w="146"/>
        <w:gridCol w:w="146"/>
        <w:gridCol w:w="211"/>
        <w:gridCol w:w="421"/>
        <w:gridCol w:w="191"/>
      </w:tblGrid>
      <w:tr>
        <w:trPr/>
        <w:tc>
          <w:tcPr>
            <w:tcW w:w="39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Range Resources Corporation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S&amp;P Oil &amp; Gas Exploration &amp; Production Index</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S&amp;P Small Cap 600 Index</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2025 Self-Constructed Peer Group </w:t>
            </w:r>
            <w:r>
              <w:rPr>
                <w:rFonts w:ascii="Times New Roman" w:hAnsi="Times New Roman"/>
                <w:color w:val="000000"/>
                <w:sz w:val="13"/>
              </w:rPr>
              <w:t>(a)</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120"/>
        <w:jc w:val="left"/>
        <w:rPr/>
      </w:pPr>
      <w:r>
        <w:rPr/>
        <w:t> </w:t>
      </w:r>
    </w:p>
    <w:tbl>
      <w:tblPr>
        <w:tblW w:w="10205" w:type="dxa"/>
        <w:jc w:val="left"/>
        <w:tblInd w:w="0" w:type="dxa"/>
        <w:tblLayout w:type="fixed"/>
        <w:tblCellMar>
          <w:top w:w="28" w:type="dxa"/>
          <w:left w:w="28" w:type="dxa"/>
          <w:bottom w:w="28" w:type="dxa"/>
          <w:right w:w="28" w:type="dxa"/>
        </w:tblCellMar>
      </w:tblPr>
      <w:tblGrid>
        <w:gridCol w:w="231"/>
        <w:gridCol w:w="9974"/>
      </w:tblGrid>
      <w:tr>
        <w:trPr/>
        <w:tc>
          <w:tcPr>
            <w:tcW w:w="231" w:type="dxa"/>
            <w:tcBorders/>
            <w:vAlign w:val="center"/>
          </w:tcPr>
          <w:p>
            <w:pPr>
              <w:pStyle w:val="TableContents"/>
              <w:bidi w:val="0"/>
              <w:spacing w:before="0" w:after="283"/>
              <w:jc w:val="left"/>
              <w:rPr>
                <w:sz w:val="4"/>
                <w:szCs w:val="4"/>
              </w:rPr>
            </w:pPr>
            <w:r>
              <w:rPr>
                <w:sz w:val="4"/>
                <w:szCs w:val="4"/>
              </w:rPr>
            </w:r>
          </w:p>
        </w:tc>
        <w:tc>
          <w:tcPr>
            <w:tcW w:w="9974" w:type="dxa"/>
            <w:tcBorders/>
            <w:vAlign w:val="center"/>
          </w:tcPr>
          <w:p>
            <w:pPr>
              <w:pStyle w:val="TableContents"/>
              <w:bidi w:val="0"/>
              <w:spacing w:before="0" w:after="283"/>
              <w:jc w:val="left"/>
              <w:rPr>
                <w:sz w:val="4"/>
                <w:szCs w:val="4"/>
              </w:rPr>
            </w:pPr>
            <w:r>
              <w:rPr>
                <w:sz w:val="4"/>
                <w:szCs w:val="4"/>
              </w:rPr>
            </w:r>
          </w:p>
        </w:tc>
      </w:tr>
      <w:tr>
        <w:trPr/>
        <w:tc>
          <w:tcPr>
            <w:tcW w:w="2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w:t>
            </w:r>
          </w:p>
        </w:tc>
        <w:tc>
          <w:tcPr>
            <w:tcW w:w="9974"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8"/>
              </w:rPr>
            </w:pPr>
            <w:r>
              <w:rPr>
                <w:rFonts w:ascii="Times New Roman" w:hAnsi="Times New Roman"/>
                <w:color w:val="000000"/>
                <w:sz w:val="18"/>
              </w:rPr>
              <w:t>The 2025 Self-Constructed Peer Group includes the SPDR S&amp;P Midcap 400 and the SPDR S&amp;P Oil and Gas E&amp;P ETF and the following thirteen companies: Antero Resources Corporation, Civitas Resources, Inc., Chord Energy Corporation, CNX Resources Corporation, Comstock Resources, Inc., Coterra Energy, Inc., EQT Corporation, Expand Energy Corporation, Magnolia Oil &amp; Gas Corporation, Matador Resources, Murphy Oil, Ovintiv Inc. and SM Energy Company. The 2025 Self-Constructed Peer Group is a market capitalization-weighted index in which each of the six Compensation Peer Group companies with the highest percentage of dry gas reserves are included twice. The six companies included twice are Antero Resources Corporation, CNX Resources Corporation, Comstock Resources, Inc., Coterra Energy Inc., EQT Corporation and Expand Energy Corporation.</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The above performance graph shall not be deemed "filed" for purposes of Section 18 Exchange Act, or otherwise subject to the liabilities under that section and shall not be deemed to be incorporated by reference into any filing under the Securities Act of 1933, as amended, or the Exchange Act, except as shall be expressly set forth by specific reference in such filing. </w:t>
      </w:r>
    </w:p>
    <w:p>
      <w:pPr>
        <w:pStyle w:val="TextBody"/>
        <w:bidi w:val="0"/>
        <w:spacing w:before="0" w:after="180"/>
        <w:jc w:val="left"/>
        <w:rPr>
          <w:rFonts w:ascii="Times New Roman" w:hAnsi="Times New Roman"/>
          <w:b/>
          <w:color w:val="000000"/>
          <w:sz w:val="20"/>
        </w:rPr>
      </w:pPr>
      <w:bookmarkStart w:id="36" w:name="reserved"/>
      <w:bookmarkEnd w:id="36"/>
      <w:r>
        <w:rPr>
          <w:rFonts w:ascii="Times New Roman" w:hAnsi="Times New Roman"/>
          <w:b/>
          <w:color w:val="000000"/>
          <w:sz w:val="20"/>
        </w:rPr>
        <w:t>ITEM 6. RESERVED</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sz w:val="20"/>
        </w:rPr>
      </w:pPr>
      <w:bookmarkStart w:id="37" w:name="item_7_mda"/>
      <w:bookmarkEnd w:id="37"/>
      <w:r>
        <w:rPr>
          <w:rFonts w:ascii="Times New Roman" w:hAnsi="Times New Roman"/>
          <w:b/>
          <w:color w:val="000000"/>
          <w:sz w:val="20"/>
        </w:rPr>
        <w:t>ITEM 7. MANAGEMENT’S DISCUSSION AND ANALYSIS OF FINANCIAL CONDITION AND RESULTS OF OPERATIONS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following discussion is intended to assist you in understanding our business and results of operations together with our present financial condition and should be read in conjunction with the information under Item 8. Financial Statements and Supplementary Data and other financial information found elsewhere in this Form 10-K. See also matters referenced in the foregoing pages under "Disclosures Regarding Forward-Looking Statements."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following tables and discussions set forth key operating and financial data for the years ended December 31, 2025 and 2024. For similar discussions of the year ended December 31, 2024 compared to December 31, 2023 results, refer to Item 7. Managements’ Discussion and Analysis of Financial Condition and Results of Operations under Part II of our annual report on Form 10-K for the year ended December 31, 2024, which was filed with the SEC on February 25, 2025.</w:t>
      </w:r>
    </w:p>
    <w:p>
      <w:pPr>
        <w:pStyle w:val="TextBody"/>
        <w:bidi w:val="0"/>
        <w:spacing w:before="0" w:after="180"/>
        <w:jc w:val="left"/>
        <w:rPr>
          <w:rFonts w:ascii="Times New Roman" w:hAnsi="Times New Roman"/>
          <w:sz w:val="20"/>
        </w:rPr>
      </w:pPr>
      <w:r>
        <w:rPr>
          <w:rFonts w:ascii="Times New Roman" w:hAnsi="Times New Roman"/>
          <w:b/>
          <w:i/>
          <w:color w:val="000000"/>
          <w:sz w:val="20"/>
        </w:rPr>
        <w:t>Overview of Our Business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We are an independent natural gas, NGLs and oil company engaged in the exploration, development and acquisition of natural gas, NGLs and oil properties located in the Appalachian region of the United States. We operate in one segment and have a single company-wide management team that administers all properties as a whole rather than by discrete operating segments. We measure financial performance as a single enterprise and not on an area-by-area basis.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Our overarching business objective is to build stockholder value through returns-focused development of natural gas, NGLs and oil properties. Our strategy to achieve our business objective is to generate consistent cash flows from reserves and production through internally generated drilling projects occasionally coupled with complementary acquisitions and divestitures. Currently, our investment portfolio is focused on high quality natural gas and NGLs assets in the Commonwealth of Pennsylvania. Our revenues, profitability and future growth depend substantially on prevailing prices for natural gas, NGLs and oil and on our ability to economically find, develop, acquire, produce and sell these reserves.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Commodity prices have been and are expected to remain volatile. We believe we are well-positioned to manage any challenges that could occur during price variations and that we can endure the continued fluctuations in current and future commodity prices by:</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exercising discipline in our capital investments;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maintaining a competitive cost structure;</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diversifying sales outlets;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managing price risk through partial hedging of our production;</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maintaining a strong balance sheet;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optimizing drilling, completion and operational efficiencies.</w:t>
      </w:r>
    </w:p>
    <w:p>
      <w:pPr>
        <w:pStyle w:val="TextBody"/>
        <w:bidi w:val="0"/>
        <w:spacing w:before="60" w:after="180"/>
        <w:jc w:val="left"/>
        <w:rPr>
          <w:rFonts w:ascii="Times New Roman" w:hAnsi="Times New Roman"/>
          <w:color w:val="000000"/>
          <w:sz w:val="20"/>
        </w:rPr>
      </w:pPr>
      <w:r>
        <w:rPr>
          <w:rFonts w:ascii="Times New Roman" w:hAnsi="Times New Roman"/>
          <w:color w:val="000000"/>
          <w:sz w:val="20"/>
        </w:rPr>
        <w:t>Prices for natural gas, NGLs, and oil fluctuate widely and affect:</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revenues, profitability and cash flow;</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amount of cash flow available to us for reinvestment or return to our stockholders;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quantity of natural gas, NGLs and oil that we can economically produce;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quantity of natural gas, NGLs and oil shown as proved reserves;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borrow and raise additional capital, if needed.</w:t>
      </w:r>
    </w:p>
    <w:p>
      <w:pPr>
        <w:pStyle w:val="TextBody"/>
        <w:bidi w:val="0"/>
        <w:spacing w:before="60" w:after="180"/>
        <w:jc w:val="left"/>
        <w:rPr>
          <w:rFonts w:ascii="Times New Roman" w:hAnsi="Times New Roman"/>
          <w:color w:val="000000"/>
          <w:sz w:val="20"/>
        </w:rPr>
      </w:pPr>
      <w:r>
        <w:rPr>
          <w:rFonts w:ascii="Times New Roman" w:hAnsi="Times New Roman"/>
          <w:color w:val="000000"/>
          <w:sz w:val="20"/>
        </w:rPr>
        <w:t>We prepare our financial statements in conformity with U.S. GAAP, which require us to make estimates and assumptions that affect our reported results of operations and the amount of our reported assets, liabilities and proved natural gas, NGLs and oil reserves. We use the successful efforts method of accounting for our natural gas, NGLs and oil activities.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Outlook for 2026</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As we enter 2026, we believe we are positioned for sustainable long-term success. For 2026, we expect our capital budget to be in the range of $650 million to $700 million for natural gas, NGLs and oil related activities, excluding any potential acquisitions, for which we do not budget. As has been our historical practice, we will periodically review our capital expenditures throughout the year and may adjust the budget based on commodity prices, drilling success and other factors. We expect our 2026 capital budget to achieve modest growth in production relative to 2025 production, while also supporting our longer-term operational plans. Our 2026 capital budget is focused on generating free cash flow while efficiently developing our resource base to achieve competitive full cycle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returns for our stockholders. The prices we receive for our natural gas, NGLs and oil production are largely based on current market prices, which are beyond our control. The price risk on a portion of our forecasted natural gas, NGLs and oil production for 2026 is partially mitigated by entering into commodity derivative contracts, and we intend to continue to enter into these types of contracts. We believe it is likely that commodity prices will continue to be volatile during 2026. </w:t>
      </w:r>
    </w:p>
    <w:p>
      <w:pPr>
        <w:pStyle w:val="TextBody"/>
        <w:bidi w:val="0"/>
        <w:spacing w:before="0" w:after="180"/>
        <w:jc w:val="left"/>
        <w:rPr>
          <w:rFonts w:ascii="Times New Roman" w:hAnsi="Times New Roman"/>
          <w:sz w:val="20"/>
        </w:rPr>
      </w:pPr>
      <w:r>
        <w:rPr>
          <w:rFonts w:ascii="Times New Roman" w:hAnsi="Times New Roman"/>
          <w:b/>
          <w:i/>
          <w:color w:val="000000"/>
          <w:sz w:val="20"/>
        </w:rPr>
        <w:t>Market Conditions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continue to monitor the impact of the actions of OPEC and other large producing nations, the Russia-Ukraine conflict, tensions in the Middle East, global inventories of natural gas, NGLs and oil, future U.S infrastructure investment, future monetary and fiscal policy, tariffs and their impacts on global trade and energy demand and governmental policies aimed at transitioning towards lower carbon energy. We expect prices for commodities we produce to remain volatile given the complex dynamics of supply and demand that exist in the global energy markets. During 2025, natural gas prices increased primarily due to increased exports from new U.S. LNG export facilities. Longer term natural gas futures prices remain constructive based on market expectations that associated gas-related activity in oil basins and dry gas basin activity will show modest rates of growth due to infrastructure constraints, moderated reinvestment rates and core inventory exhaustion. In addition, the global energy shortage experienced in recent years further highlighted the need for affordable and reliable fuel sources, supporting continued strong structural demand growth for United States LNG exports, as well as domestic electricity generation. Other factors such as geopolitical disruptions, supply chain disruptions, cost inflation, concerns over a potential economic recession and the pace and changes in global monetary policy may impact global demand for natural gas, NGLs and oil. We continue to assess and monitor the impact and consequences of these factors on our business and operations.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Benchmarks for natural gas increased in 2025 compared to 2024, while NGLs slightly decreased. As a result, we have experienced increases in our price realizations in 2025. Recently, benchmark natural gas prices have increased further compared to the fourth quarter 2025, with the average NYMEX monthly settlement price for natural gas increasing to $4.69 per mcf for January 2026 and $7.46 for February 2026 settlement following winter weather. The following table lists related benchmarks for natural gas, oil and NGLs composite prices for the years ended December 31, 2025 and 2024. </w:t>
      </w:r>
    </w:p>
    <w:tbl>
      <w:tblPr>
        <w:tblW w:w="6359" w:type="dxa"/>
        <w:jc w:val="left"/>
        <w:tblInd w:w="0" w:type="dxa"/>
        <w:tblLayout w:type="fixed"/>
        <w:tblCellMar>
          <w:top w:w="28" w:type="dxa"/>
          <w:left w:w="28" w:type="dxa"/>
          <w:bottom w:w="28" w:type="dxa"/>
          <w:right w:w="28" w:type="dxa"/>
        </w:tblCellMar>
      </w:tblPr>
      <w:tblGrid>
        <w:gridCol w:w="3856"/>
        <w:gridCol w:w="240"/>
        <w:gridCol w:w="650"/>
        <w:gridCol w:w="166"/>
        <w:gridCol w:w="166"/>
        <w:gridCol w:w="240"/>
        <w:gridCol w:w="650"/>
        <w:gridCol w:w="391"/>
      </w:tblGrid>
      <w:tr>
        <w:trPr/>
        <w:tc>
          <w:tcPr>
            <w:tcW w:w="385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Benchmarks:</w:t>
            </w:r>
          </w:p>
        </w:tc>
        <w:tc>
          <w:tcPr>
            <w:tcW w:w="8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Average NYMEX prices </w:t>
            </w:r>
            <w:r>
              <w:rPr>
                <w:rFonts w:ascii="Times New Roman" w:hAnsi="Times New Roman"/>
                <w:color w:val="000000"/>
                <w:sz w:val="13"/>
              </w:rPr>
              <w:t>(a)</w:t>
            </w:r>
          </w:p>
        </w:tc>
        <w:tc>
          <w:tcPr>
            <w:tcW w:w="8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Natural gas (per mcf)</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Oil (per bbl)</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Mont Belvieu NGLs composite (per gallon) </w:t>
            </w:r>
            <w:r>
              <w:rPr>
                <w:rFonts w:ascii="Times New Roman" w:hAnsi="Times New Roman"/>
                <w:color w:val="000000"/>
                <w:sz w:val="13"/>
              </w:rPr>
              <w:t>(b)</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Based on average of monthly last day settlement prices on the New York Mercantile Exchange ("NYMEX").</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(b)</w:t>
      </w:r>
    </w:p>
    <w:p>
      <w:pPr>
        <w:pStyle w:val="TextBody"/>
        <w:bidi w:val="0"/>
        <w:jc w:val="left"/>
        <w:rPr>
          <w:rFonts w:ascii="Times New Roman" w:hAnsi="Times New Roman"/>
          <w:color w:val="000000"/>
          <w:sz w:val="18"/>
        </w:rPr>
      </w:pPr>
      <w:r>
        <w:rPr>
          <w:rFonts w:ascii="Times New Roman" w:hAnsi="Times New Roman"/>
          <w:color w:val="000000"/>
          <w:sz w:val="18"/>
        </w:rPr>
        <w:t xml:space="preserve">Based on our estimated NGLs product composition per barrel.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Prices for various quantities of natural gas, NGLs and oil that we produce significantly impact our revenues and cash flows. Our price realizations (not including the impact of our derivatives) may differ from the benchmarks for many reasons, including quality, location, or production being sold at different prices.</w:t>
      </w:r>
    </w:p>
    <w:p>
      <w:pPr>
        <w:pStyle w:val="TextBody"/>
        <w:bidi w:val="0"/>
        <w:jc w:val="left"/>
        <w:rPr/>
      </w:pPr>
      <w:r>
        <w:rPr/>
        <w:t> </w:t>
      </w:r>
    </w:p>
    <w:p>
      <w:pPr>
        <w:pStyle w:val="TextBody"/>
        <w:bidi w:val="0"/>
        <w:jc w:val="left"/>
        <w:rPr>
          <w:rFonts w:ascii="Times New Roman" w:hAnsi="Times New Roman"/>
          <w:sz w:val="20"/>
        </w:rPr>
      </w:pPr>
      <w:bookmarkStart w:id="38" w:name="mda_operations"/>
      <w:bookmarkEnd w:id="38"/>
      <w:r>
        <w:rPr>
          <w:rFonts w:ascii="Times New Roman" w:hAnsi="Times New Roman"/>
          <w:b/>
          <w:color w:val="000000"/>
          <w:sz w:val="20"/>
        </w:rPr>
        <w:t>Management’s Discussion and Analysis of Results of Operations</w:t>
      </w:r>
      <w:r>
        <w:rPr>
          <w:rFonts w:ascii="Times New Roman" w:hAnsi="Times New Roman"/>
          <w:color w:val="000000"/>
          <w:sz w:val="20"/>
        </w:rPr>
        <w:t xml:space="preserve"> </w:t>
      </w:r>
    </w:p>
    <w:p>
      <w:pPr>
        <w:pStyle w:val="TextBody"/>
        <w:bidi w:val="0"/>
        <w:spacing w:before="180" w:after="180"/>
        <w:jc w:val="left"/>
        <w:rPr>
          <w:rFonts w:ascii="Times New Roman" w:hAnsi="Times New Roman"/>
          <w:sz w:val="20"/>
        </w:rPr>
      </w:pPr>
      <w:r>
        <w:rPr>
          <w:rFonts w:ascii="Times New Roman" w:hAnsi="Times New Roman"/>
          <w:b/>
          <w:i/>
          <w:color w:val="000000"/>
          <w:sz w:val="20"/>
        </w:rPr>
        <w:t>Overview of 2025 Results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For the year ended December 31, 2025, we experienced an increase in revenue from the sale of natural gas, NGLs and oil due to a 14% increase in net realized prices (average prices including all derivative settlements and third-party transportation costs paid by us) compared to 2024. Daily production in 2025 averaged 2.24 Bcfe compared to 2.18 Bcfe in 2024.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During 2025, we recognized net income of $658.0 million, or $2.74 per diluted common share compared to $266.3 million, or $1.09 per diluted common share during 2024. The increase in net income for the year ended December 31, 2025 compared to 2024 is primarily due to higher realized prices combined with slightly higher production.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During 2025, our financial and operating performance included the following results: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revenue from the sale of natural gas, NGLs and oil increased 27% from the same period of 2024 with a 24% increase in average realized prices (before cash settlements on our derivatives) combined with a 2% increase in production volumes;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revenue from the sale of natural gas, NGLs and oil (including cash settlements on our derivatives) increased 11% from the same period of 2024;</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transportation, gathering, processing and compression expense per mcfe was $1.50 in 2025 compared to $1.48 in the same period of 2024 primarily due to the increase of electricity costs and FERC rates;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direct operating expense per mcfe increased to $0.13 in 2025 compared to $0.12 in the same period of 2024 due to an increase in workover costs;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general and administrative expense per mcfe for 2025 remained the same at $0.22 compared to the same period of 2024;</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interest expense per mcfe for 2025 decreased 13% from the same period of 2024 due to lower debt balances;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DD&amp;A rate per mcfe for 2025 remained the same compared to the same period of 2024;</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drilled and completed 53 net wells with a 100% success rate;</w:t>
      </w:r>
    </w:p>
    <w:p>
      <w:pPr>
        <w:pStyle w:val="TextBody"/>
        <w:bidi w:val="0"/>
        <w:spacing w:before="60" w:after="180"/>
        <w:jc w:val="left"/>
        <w:rPr>
          <w:rFonts w:ascii="Times New Roman" w:hAnsi="Times New Roman"/>
          <w:color w:val="000000"/>
          <w:sz w:val="20"/>
        </w:rPr>
      </w:pPr>
      <w:r>
        <w:rPr>
          <w:rFonts w:ascii="Times New Roman" w:hAnsi="Times New Roman"/>
          <w:color w:val="000000"/>
          <w:sz w:val="20"/>
        </w:rPr>
        <w:t>The year ended December 31, 2025 also included the following returns of capital and balance sheet highlights: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paid $85.7 million in dividends, increasing per share dividend by 12.5% to an annual $0.36 per common share compared to $0.32 per common share in 2024;</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repurchased $230.6 million of our common stock compared to $65.3 million in 2024;</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repurchased in the open market $2.2 million principal amount of our 4.875% senior notes due 2025 at a discount and repaid the remaining $606.5 million principal balance of our 4.875% senior notes due 2025 at par by utilizing cash on hand and borrowing on our credit facility;</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maintained substantial liquidity with the accumulation of cash on hand of $204,000 along with $1.7 billion available under our credit facility;</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enabled longer laterals and enhanced efficiency through continued selective acreage leasing and lease renewals to consolidate our acreage positions in the Marcellus Shale play in Pennsylvania by investing $51.8 million to acquire unproved acreage;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capital investment for 2025 was $673.8 million, which was within our announced range of $650.0 million to $690.0 million.</w:t>
      </w:r>
    </w:p>
    <w:p>
      <w:pPr>
        <w:pStyle w:val="TextBody"/>
        <w:bidi w:val="0"/>
        <w:spacing w:before="60" w:after="180"/>
        <w:jc w:val="left"/>
        <w:rPr>
          <w:rFonts w:ascii="Times New Roman" w:hAnsi="Times New Roman"/>
          <w:color w:val="000000"/>
          <w:sz w:val="20"/>
        </w:rPr>
      </w:pPr>
      <w:r>
        <w:rPr>
          <w:rFonts w:ascii="Times New Roman" w:hAnsi="Times New Roman"/>
          <w:color w:val="000000"/>
          <w:sz w:val="20"/>
        </w:rPr>
        <w:t>We generated $1.2 billion of cash from operating activities in 2025, which is $226.8 million higher compared to 2024 and reflects higher realized prices and higher production volumes.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year ended December 31, 2025 also included the following highlights that emphasized our corporate sustainability initiatives: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expanded "A" grade MiQ certification to include all Pennsylvania production;</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maintained net zero scope 1 and 2 GHG emissions through direct emissions reductions and verified carbon credits;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continued to recycle approximately 100% of our flowback and produced water generated from our operations;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expanded the installation and use of compressed air pneumatic controllers.</w:t>
      </w:r>
    </w:p>
    <w:p>
      <w:pPr>
        <w:pStyle w:val="TextBody"/>
        <w:bidi w:val="0"/>
        <w:spacing w:before="0" w:after="120"/>
        <w:jc w:val="left"/>
        <w:rPr/>
      </w:pPr>
      <w:r>
        <w:rPr/>
        <w:t> </w:t>
      </w:r>
    </w:p>
    <w:p>
      <w:pPr>
        <w:pStyle w:val="TextBody"/>
        <w:bidi w:val="0"/>
        <w:spacing w:before="0" w:after="120"/>
        <w:jc w:val="left"/>
        <w:rPr>
          <w:rFonts w:ascii="Times New Roman" w:hAnsi="Times New Roman"/>
          <w:sz w:val="20"/>
        </w:rPr>
      </w:pPr>
      <w:r>
        <w:rPr>
          <w:rFonts w:ascii="Times New Roman" w:hAnsi="Times New Roman"/>
          <w:b/>
          <w:i/>
          <w:color w:val="000000"/>
          <w:sz w:val="20"/>
        </w:rPr>
        <w:t>Natural Gas, NGLs and Oil Sales, Production and Realized Price Calculations</w:t>
      </w:r>
      <w:r>
        <w:rPr>
          <w:rFonts w:ascii="Times New Roman" w:hAnsi="Times New Roman"/>
          <w:color w:val="000000"/>
          <w:sz w:val="20"/>
        </w:rPr>
        <w:t xml:space="preserve"> </w:t>
      </w:r>
    </w:p>
    <w:p>
      <w:pPr>
        <w:pStyle w:val="TextBody"/>
        <w:bidi w:val="0"/>
        <w:spacing w:before="60" w:after="180"/>
        <w:jc w:val="left"/>
        <w:rPr>
          <w:rFonts w:ascii="Times New Roman" w:hAnsi="Times New Roman"/>
          <w:color w:val="000000"/>
          <w:sz w:val="20"/>
        </w:rPr>
      </w:pPr>
      <w:r>
        <w:rPr>
          <w:rFonts w:ascii="Times New Roman" w:hAnsi="Times New Roman"/>
          <w:color w:val="000000"/>
          <w:sz w:val="20"/>
        </w:rPr>
        <w:t>Our revenues vary from year-to-year as a result of changes in realized commodity prices and production volumes. The following table illustrates the primary components of natural gas, NGLs and oil sales for the last two years (in thousands):</w:t>
      </w:r>
    </w:p>
    <w:p>
      <w:pPr>
        <w:pStyle w:val="TextBody"/>
        <w:bidi w:val="0"/>
        <w:jc w:val="left"/>
        <w:rPr/>
      </w:pPr>
      <w:r>
        <w:rPr/>
        <w:t> </w:t>
      </w:r>
    </w:p>
    <w:tbl>
      <w:tblPr>
        <w:tblW w:w="8426" w:type="dxa"/>
        <w:jc w:val="left"/>
        <w:tblInd w:w="0" w:type="dxa"/>
        <w:tblLayout w:type="fixed"/>
        <w:tblCellMar>
          <w:top w:w="28" w:type="dxa"/>
          <w:left w:w="28" w:type="dxa"/>
          <w:bottom w:w="28" w:type="dxa"/>
          <w:right w:w="28" w:type="dxa"/>
        </w:tblCellMar>
      </w:tblPr>
      <w:tblGrid>
        <w:gridCol w:w="3246"/>
        <w:gridCol w:w="196"/>
        <w:gridCol w:w="826"/>
        <w:gridCol w:w="146"/>
        <w:gridCol w:w="146"/>
        <w:gridCol w:w="196"/>
        <w:gridCol w:w="826"/>
        <w:gridCol w:w="146"/>
        <w:gridCol w:w="146"/>
        <w:gridCol w:w="196"/>
        <w:gridCol w:w="691"/>
        <w:gridCol w:w="166"/>
        <w:gridCol w:w="146"/>
        <w:gridCol w:w="146"/>
        <w:gridCol w:w="346"/>
        <w:gridCol w:w="861"/>
      </w:tblGrid>
      <w:tr>
        <w:trPr/>
        <w:tc>
          <w:tcPr>
            <w:tcW w:w="3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3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1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Natural gas, NGLs and oil sales</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32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Natural gas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1,730,205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1,052,442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677,763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w:t>
            </w:r>
          </w:p>
        </w:tc>
        <w:tc>
          <w:tcPr>
            <w:tcW w:w="86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32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NGLs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979,313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1,020,903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(41,590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86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32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Oil</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106,073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140,505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86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w:t>
            </w:r>
          </w:p>
        </w:tc>
      </w:tr>
      <w:tr>
        <w:trPr/>
        <w:tc>
          <w:tcPr>
            <w:tcW w:w="32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Total natural gas, NGLs and oil sales</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2,815,591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2,213,850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601,741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80"/>
        <w:jc w:val="left"/>
        <w:rPr>
          <w:rFonts w:ascii="Times New Roman" w:hAnsi="Times New Roman"/>
          <w:color w:val="000000"/>
          <w:sz w:val="20"/>
        </w:rPr>
      </w:pPr>
      <w:r>
        <w:rPr>
          <w:rFonts w:ascii="Times New Roman" w:hAnsi="Times New Roman"/>
          <w:color w:val="000000"/>
          <w:sz w:val="20"/>
        </w:rPr>
        <w:t xml:space="preserve">Production growth is generated through drilling success as we place new wells on production, which is partially offset by the natural decline of our natural gas, NGLs and oil reserves through production. Our production for the last two years is set forth in the following table: </w:t>
      </w:r>
    </w:p>
    <w:tbl>
      <w:tblPr>
        <w:tblW w:w="7691" w:type="dxa"/>
        <w:jc w:val="left"/>
        <w:tblInd w:w="0" w:type="dxa"/>
        <w:tblLayout w:type="fixed"/>
        <w:tblCellMar>
          <w:top w:w="28" w:type="dxa"/>
          <w:left w:w="28" w:type="dxa"/>
          <w:bottom w:w="28" w:type="dxa"/>
          <w:right w:w="28" w:type="dxa"/>
        </w:tblCellMar>
      </w:tblPr>
      <w:tblGrid>
        <w:gridCol w:w="2266"/>
        <w:gridCol w:w="146"/>
        <w:gridCol w:w="1006"/>
        <w:gridCol w:w="146"/>
        <w:gridCol w:w="146"/>
        <w:gridCol w:w="146"/>
        <w:gridCol w:w="1006"/>
        <w:gridCol w:w="146"/>
        <w:gridCol w:w="146"/>
        <w:gridCol w:w="146"/>
        <w:gridCol w:w="916"/>
        <w:gridCol w:w="166"/>
        <w:gridCol w:w="146"/>
        <w:gridCol w:w="146"/>
        <w:gridCol w:w="256"/>
        <w:gridCol w:w="76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 xml:space="preserve">Production </w:t>
            </w:r>
            <w:r>
              <w:rPr>
                <w:rFonts w:ascii="Times New Roman" w:hAnsi="Times New Roman"/>
                <w:b/>
                <w:color w:val="000000"/>
                <w:sz w:val="12"/>
              </w:rPr>
              <w:t>(a)</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Natural gas (mcf)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560,891,967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545,415,974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15,475,993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7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NGLs (bbls)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40,551,764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39,622,576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929,188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7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Oil (bbls)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1,975,937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2,180,528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(204,591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7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18"/>
              </w:rPr>
            </w:pPr>
            <w:r>
              <w:rPr>
                <w:rFonts w:ascii="Times New Roman" w:hAnsi="Times New Roman"/>
                <w:color w:val="000000"/>
                <w:sz w:val="18"/>
              </w:rPr>
              <w:t xml:space="preserve">Total (mcfe) </w:t>
            </w:r>
            <w:r>
              <w:rPr>
                <w:rFonts w:ascii="Times New Roman" w:hAnsi="Times New Roman"/>
                <w:color w:val="000000"/>
                <w:sz w:val="12"/>
              </w:rPr>
              <w:t>(b)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816,058,173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796,234,598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19,823,575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 xml:space="preserve">Average daily production </w:t>
            </w:r>
            <w:r>
              <w:rPr>
                <w:rFonts w:ascii="Times New Roman" w:hAnsi="Times New Roman"/>
                <w:b/>
                <w:color w:val="000000"/>
                <w:sz w:val="12"/>
              </w:rPr>
              <w:t>(a)</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Natural gas (mcf)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1,536,690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1,490,208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46,482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7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NGLs (bbls)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111,101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108,258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7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Oil (bbls)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7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18"/>
              </w:rPr>
            </w:pPr>
            <w:r>
              <w:rPr>
                <w:rFonts w:ascii="Times New Roman" w:hAnsi="Times New Roman"/>
                <w:color w:val="000000"/>
                <w:sz w:val="18"/>
              </w:rPr>
              <w:t xml:space="preserve">Total (mcfe) </w:t>
            </w:r>
            <w:r>
              <w:rPr>
                <w:rFonts w:ascii="Times New Roman" w:hAnsi="Times New Roman"/>
                <w:color w:val="000000"/>
                <w:sz w:val="12"/>
              </w:rPr>
              <w:t>(b)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2,235,776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2,175,504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60,272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Represents volumes sold regardless of when produced.</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(b)</w:t>
      </w:r>
    </w:p>
    <w:p>
      <w:pPr>
        <w:pStyle w:val="TextBody"/>
        <w:bidi w:val="0"/>
        <w:jc w:val="left"/>
        <w:rPr>
          <w:rFonts w:ascii="Times New Roman" w:hAnsi="Times New Roman"/>
          <w:color w:val="000000"/>
          <w:sz w:val="18"/>
        </w:rPr>
      </w:pPr>
      <w:r>
        <w:rPr>
          <w:rFonts w:ascii="Times New Roman" w:hAnsi="Times New Roman"/>
          <w:color w:val="000000"/>
          <w:sz w:val="18"/>
        </w:rPr>
        <w:t>Oil and NGLs volumes are converted to mcfe at the rate of one barrel equals six mcf based upon the approximate relative energy content of oil and natural gas, which is not indicative of the relationship between oil and natural gas prices.</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 xml:space="preserve">Our average realized price (including derivative settlements and third-party transportation costs paid by Range) received during 2025 was $2.10 per mcfe compared to $1.84 per mcfe in 2024. The majority of our production is sold at market-based prices. We believe computed final realized prices should include the impact of transportation, gathering, processing and compression expense. Average sales prices (excluding derivative settlements) do not include any derivative settlements or third-party transportation costs which are reported in transportation, gathering and compression expense on the accompanying consolidated statements of income. Average sales prices (excluding derivative settlements) do include transportation costs where we receive net proceeds from the purchaser. Our average realized price (including derivative settlements and third-party transportation costs paid by Range) calculation includes cash settlements for derivatives. Average realized price calculations for the last two years are shown below: </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5891"/>
        <w:gridCol w:w="196"/>
        <w:gridCol w:w="511"/>
        <w:gridCol w:w="146"/>
        <w:gridCol w:w="146"/>
        <w:gridCol w:w="196"/>
        <w:gridCol w:w="511"/>
        <w:gridCol w:w="146"/>
        <w:gridCol w:w="146"/>
        <w:gridCol w:w="196"/>
        <w:gridCol w:w="571"/>
        <w:gridCol w:w="166"/>
        <w:gridCol w:w="146"/>
        <w:gridCol w:w="146"/>
        <w:gridCol w:w="346"/>
        <w:gridCol w:w="745"/>
      </w:tblGrid>
      <w:tr>
        <w:trPr/>
        <w:tc>
          <w:tcPr>
            <w:tcW w:w="58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r>
      <w:tr>
        <w:trPr/>
        <w:tc>
          <w:tcPr>
            <w:tcW w:w="5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Average Prices</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Average realized prices (excluding derivative settlements):</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5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Natural gas (per mcf)</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w:t>
            </w:r>
          </w:p>
        </w:tc>
        <w:tc>
          <w:tcPr>
            <w:tcW w:w="7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NGLs (per bbl)</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7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Oil (per bbl)</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74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8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18"/>
              </w:rPr>
            </w:pPr>
            <w:r>
              <w:rPr>
                <w:rFonts w:ascii="Times New Roman" w:hAnsi="Times New Roman"/>
                <w:color w:val="000000"/>
                <w:sz w:val="18"/>
              </w:rPr>
              <w:t xml:space="preserve">Total (per mcfe) </w:t>
            </w:r>
            <w:r>
              <w:rPr>
                <w:rFonts w:ascii="Times New Roman" w:hAnsi="Times New Roman"/>
                <w:color w:val="000000"/>
                <w:sz w:val="12"/>
              </w:rPr>
              <w:t>(a)</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Average realized prices (including derivative settlements):</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5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Natural gas (per mcf)</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7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NGLs (per bbl)</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7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Oil (per bbl)</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74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8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18"/>
              </w:rPr>
            </w:pPr>
            <w:r>
              <w:rPr>
                <w:rFonts w:ascii="Times New Roman" w:hAnsi="Times New Roman"/>
                <w:color w:val="000000"/>
                <w:sz w:val="18"/>
              </w:rPr>
              <w:t xml:space="preserve">Total (per mcfe) </w:t>
            </w:r>
            <w:r>
              <w:rPr>
                <w:rFonts w:ascii="Times New Roman" w:hAnsi="Times New Roman"/>
                <w:color w:val="000000"/>
                <w:sz w:val="12"/>
              </w:rPr>
              <w:t>(a)</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Average realized prices (including derivative settlements and third-party transportation costs paid by Range):</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5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Natural gas (per mcf)</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7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NGLs (per bbl)</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7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Oil (per bbl)</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74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8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18"/>
              </w:rPr>
            </w:pPr>
            <w:r>
              <w:rPr>
                <w:rFonts w:ascii="Times New Roman" w:hAnsi="Times New Roman"/>
                <w:color w:val="000000"/>
                <w:sz w:val="18"/>
              </w:rPr>
              <w:t xml:space="preserve">Total (per mcfe) </w:t>
            </w:r>
            <w:r>
              <w:rPr>
                <w:rFonts w:ascii="Times New Roman" w:hAnsi="Times New Roman"/>
                <w:color w:val="000000"/>
                <w:sz w:val="12"/>
              </w:rPr>
              <w:t>(a)</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Oil and NGLs volumes are converted at the rate of one barrel equals six mcf based upon the approximate relative energy content of oil to natural gas, which is not indicative of the relationship between oil and natural gas prices.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Realized prices include the impact of basis differentials and gains or losses realized from our basis hedging. The prices we receive for our natural gas can be more or less than the NYMEX price because of adjustments for delivery location, relative quality and other factors. The following table provides this impact on a per mcf basis:</w:t>
      </w:r>
    </w:p>
    <w:p>
      <w:pPr>
        <w:pStyle w:val="TextBody"/>
        <w:bidi w:val="0"/>
        <w:jc w:val="left"/>
        <w:rPr/>
      </w:pPr>
      <w:r>
        <w:rPr/>
        <w:t> </w:t>
      </w:r>
    </w:p>
    <w:tbl>
      <w:tblPr>
        <w:tblW w:w="5938" w:type="dxa"/>
        <w:jc w:val="left"/>
        <w:tblInd w:w="0" w:type="dxa"/>
        <w:tblLayout w:type="fixed"/>
        <w:tblCellMar>
          <w:top w:w="28" w:type="dxa"/>
          <w:left w:w="28" w:type="dxa"/>
          <w:bottom w:w="28" w:type="dxa"/>
          <w:right w:w="28" w:type="dxa"/>
        </w:tblCellMar>
      </w:tblPr>
      <w:tblGrid>
        <w:gridCol w:w="3616"/>
        <w:gridCol w:w="248"/>
        <w:gridCol w:w="610"/>
        <w:gridCol w:w="210"/>
        <w:gridCol w:w="185"/>
        <w:gridCol w:w="248"/>
        <w:gridCol w:w="610"/>
        <w:gridCol w:w="211"/>
      </w:tblGrid>
      <w:tr>
        <w:trPr/>
        <w:tc>
          <w:tcPr>
            <w:tcW w:w="361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Average natural gas differentials below NYMEX</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(0.35</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Realized gains (losses) on basis hedging</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(0.02</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The following tables reflect our production and average realized commodity prices (excluding derivative settlements and third-party transportation costs paid by Range) (in thousands, except prices):</w:t>
      </w:r>
    </w:p>
    <w:p>
      <w:pPr>
        <w:pStyle w:val="TextBody"/>
        <w:bidi w:val="0"/>
        <w:jc w:val="left"/>
        <w:rPr/>
      </w:pPr>
      <w:r>
        <w:rPr/>
        <w:t> </w:t>
      </w:r>
    </w:p>
    <w:tbl>
      <w:tblPr>
        <w:tblW w:w="7021" w:type="dxa"/>
        <w:jc w:val="left"/>
        <w:tblInd w:w="0" w:type="dxa"/>
        <w:tblLayout w:type="fixed"/>
        <w:tblCellMar>
          <w:top w:w="28" w:type="dxa"/>
          <w:left w:w="28" w:type="dxa"/>
          <w:bottom w:w="28" w:type="dxa"/>
          <w:right w:w="28" w:type="dxa"/>
        </w:tblCellMar>
      </w:tblPr>
      <w:tblGrid>
        <w:gridCol w:w="1826"/>
        <w:gridCol w:w="196"/>
        <w:gridCol w:w="826"/>
        <w:gridCol w:w="146"/>
        <w:gridCol w:w="146"/>
        <w:gridCol w:w="196"/>
        <w:gridCol w:w="691"/>
        <w:gridCol w:w="146"/>
        <w:gridCol w:w="146"/>
        <w:gridCol w:w="196"/>
        <w:gridCol w:w="601"/>
        <w:gridCol w:w="146"/>
        <w:gridCol w:w="146"/>
        <w:gridCol w:w="196"/>
        <w:gridCol w:w="826"/>
        <w:gridCol w:w="591"/>
      </w:tblGrid>
      <w:tr>
        <w:trPr/>
        <w:tc>
          <w:tcPr>
            <w:tcW w:w="18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Price</w:t>
              <w:br/>
              <w:t>Variance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Volume</w:t>
              <w:br/>
              <w:t>Variance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Natural gas</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Price (per mcf)</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Production (Mmcf)</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545,416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560,892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8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Natural gas sales</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1,052,442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647,900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1,730,205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781" w:type="dxa"/>
        <w:jc w:val="left"/>
        <w:tblInd w:w="0" w:type="dxa"/>
        <w:tblLayout w:type="fixed"/>
        <w:tblCellMar>
          <w:top w:w="28" w:type="dxa"/>
          <w:left w:w="28" w:type="dxa"/>
          <w:bottom w:w="28" w:type="dxa"/>
          <w:right w:w="28" w:type="dxa"/>
        </w:tblCellMar>
      </w:tblPr>
      <w:tblGrid>
        <w:gridCol w:w="1731"/>
        <w:gridCol w:w="196"/>
        <w:gridCol w:w="826"/>
        <w:gridCol w:w="146"/>
        <w:gridCol w:w="146"/>
        <w:gridCol w:w="196"/>
        <w:gridCol w:w="661"/>
        <w:gridCol w:w="166"/>
        <w:gridCol w:w="146"/>
        <w:gridCol w:w="196"/>
        <w:gridCol w:w="601"/>
        <w:gridCol w:w="146"/>
        <w:gridCol w:w="146"/>
        <w:gridCol w:w="196"/>
        <w:gridCol w:w="691"/>
        <w:gridCol w:w="591"/>
      </w:tblGrid>
      <w:tr>
        <w:trPr/>
        <w:tc>
          <w:tcPr>
            <w:tcW w:w="17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Price</w:t>
              <w:br/>
              <w:t>Variance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Volume</w:t>
              <w:br/>
              <w:t>Variance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NGLs</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7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Price (per bbl)</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Production (Mbbls)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39,623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40,552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7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NGLs sales</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1,020,903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(65,531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979,313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pPr>
      <w:r>
        <w:rPr/>
        <w:t> </w:t>
      </w:r>
    </w:p>
    <w:tbl>
      <w:tblPr>
        <w:tblW w:w="6726" w:type="dxa"/>
        <w:jc w:val="left"/>
        <w:tblInd w:w="0" w:type="dxa"/>
        <w:tblLayout w:type="fixed"/>
        <w:tblCellMar>
          <w:top w:w="28" w:type="dxa"/>
          <w:left w:w="28" w:type="dxa"/>
          <w:bottom w:w="28" w:type="dxa"/>
          <w:right w:w="28" w:type="dxa"/>
        </w:tblCellMar>
      </w:tblPr>
      <w:tblGrid>
        <w:gridCol w:w="1731"/>
        <w:gridCol w:w="196"/>
        <w:gridCol w:w="691"/>
        <w:gridCol w:w="146"/>
        <w:gridCol w:w="146"/>
        <w:gridCol w:w="196"/>
        <w:gridCol w:w="661"/>
        <w:gridCol w:w="166"/>
        <w:gridCol w:w="146"/>
        <w:gridCol w:w="196"/>
        <w:gridCol w:w="661"/>
        <w:gridCol w:w="166"/>
        <w:gridCol w:w="146"/>
        <w:gridCol w:w="196"/>
        <w:gridCol w:w="691"/>
        <w:gridCol w:w="591"/>
      </w:tblGrid>
      <w:tr>
        <w:trPr/>
        <w:tc>
          <w:tcPr>
            <w:tcW w:w="17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Price</w:t>
              <w:br/>
              <w:t>Variance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Volume</w:t>
              <w:br/>
              <w:t>Variance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Oil</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7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Price (per bbl)</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53.68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Production (Mbbls)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7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Oil sales</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140,505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106,073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jc w:val="left"/>
        <w:rPr/>
      </w:pPr>
      <w:r>
        <w:rPr/>
        <w:t> </w:t>
      </w:r>
    </w:p>
    <w:tbl>
      <w:tblPr>
        <w:tblW w:w="8566" w:type="dxa"/>
        <w:jc w:val="left"/>
        <w:tblInd w:w="0" w:type="dxa"/>
        <w:tblLayout w:type="fixed"/>
        <w:tblCellMar>
          <w:top w:w="28" w:type="dxa"/>
          <w:left w:w="28" w:type="dxa"/>
          <w:bottom w:w="28" w:type="dxa"/>
          <w:right w:w="28" w:type="dxa"/>
        </w:tblCellMar>
      </w:tblPr>
      <w:tblGrid>
        <w:gridCol w:w="3371"/>
        <w:gridCol w:w="196"/>
        <w:gridCol w:w="826"/>
        <w:gridCol w:w="146"/>
        <w:gridCol w:w="146"/>
        <w:gridCol w:w="196"/>
        <w:gridCol w:w="691"/>
        <w:gridCol w:w="146"/>
        <w:gridCol w:w="146"/>
        <w:gridCol w:w="196"/>
        <w:gridCol w:w="601"/>
        <w:gridCol w:w="146"/>
        <w:gridCol w:w="146"/>
        <w:gridCol w:w="196"/>
        <w:gridCol w:w="826"/>
        <w:gridCol w:w="591"/>
      </w:tblGrid>
      <w:tr>
        <w:trPr/>
        <w:tc>
          <w:tcPr>
            <w:tcW w:w="33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Price</w:t>
              <w:br/>
              <w:t>Variance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Volume</w:t>
              <w:br/>
              <w:t>Variance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Consolidated</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Price (per mcfe)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Production (Mmcfe)</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796,235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816,058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Total natural gas, NGLs and oil sales</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2,213,850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546,623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55,118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2,815,591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180"/>
        <w:jc w:val="left"/>
        <w:rPr>
          <w:rFonts w:ascii="Times New Roman" w:hAnsi="Times New Roman"/>
          <w:sz w:val="20"/>
        </w:rPr>
      </w:pPr>
      <w:r>
        <w:rPr>
          <w:rFonts w:ascii="Times New Roman" w:hAnsi="Times New Roman"/>
          <w:b/>
          <w:i/>
          <w:color w:val="000000"/>
          <w:sz w:val="20"/>
        </w:rPr>
        <w:t>Transportation, gathering, processing and compression</w:t>
      </w:r>
      <w:r>
        <w:rPr>
          <w:rFonts w:ascii="Times New Roman" w:hAnsi="Times New Roman"/>
          <w:color w:val="000000"/>
          <w:sz w:val="20"/>
        </w:rPr>
        <w:t xml:space="preserve"> expense was approximately $1.2 billion in 2025 and 2024. As shown in the table below, these third-party costs are higher than the prior year due to an increase in electricity costs, FERC charges and an increase in NGLs volumes which increases processing cost. We have included these costs in the calculation of average realized prices (including all derivative settlements and third-party transportation expenses paid by Range). The following table summarizes transportation, gathering, processing and compression expense for the last two years (in thousands) and on a per mcf and per barrel basis:</w:t>
      </w:r>
    </w:p>
    <w:tbl>
      <w:tblPr>
        <w:tblW w:w="7516" w:type="dxa"/>
        <w:jc w:val="left"/>
        <w:tblInd w:w="0" w:type="dxa"/>
        <w:tblLayout w:type="fixed"/>
        <w:tblCellMar>
          <w:top w:w="28" w:type="dxa"/>
          <w:left w:w="28" w:type="dxa"/>
          <w:bottom w:w="28" w:type="dxa"/>
          <w:right w:w="28" w:type="dxa"/>
        </w:tblCellMar>
      </w:tblPr>
      <w:tblGrid>
        <w:gridCol w:w="2506"/>
        <w:gridCol w:w="196"/>
        <w:gridCol w:w="826"/>
        <w:gridCol w:w="146"/>
        <w:gridCol w:w="146"/>
        <w:gridCol w:w="196"/>
        <w:gridCol w:w="826"/>
        <w:gridCol w:w="146"/>
        <w:gridCol w:w="146"/>
        <w:gridCol w:w="196"/>
        <w:gridCol w:w="601"/>
        <w:gridCol w:w="146"/>
        <w:gridCol w:w="146"/>
        <w:gridCol w:w="146"/>
        <w:gridCol w:w="346"/>
        <w:gridCol w:w="801"/>
      </w:tblGrid>
      <w:tr>
        <w:trPr/>
        <w:tc>
          <w:tcPr>
            <w:tcW w:w="25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Transportation, gathering</w:t>
              <w:br/>
              <w:t>     processing and compression</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Natural gas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627,651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611,698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80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NGLs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592,296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564,269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80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Oil</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Total</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1,223,324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1,177,925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45,399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Natural gas (per mcf)</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NGLs (per bbl)</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80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Oil (per bbl)</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Times New Roman" w:hAnsi="Times New Roman"/>
                <w:color w:val="000000"/>
                <w:sz w:val="18"/>
              </w:rPr>
              <w:t>Total (per mcfe)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 xml:space="preserve">Derivative fair value income </w:t>
      </w:r>
      <w:r>
        <w:rPr>
          <w:rFonts w:ascii="Times New Roman" w:hAnsi="Times New Roman"/>
          <w:color w:val="000000"/>
          <w:sz w:val="20"/>
        </w:rPr>
        <w:t>was $121.5 million in 2025 compared to income of $56.7 million in 2024. All of our derivatives are accounted for using the mark-to-market accounting method. Mark-to-market accounting treatment can result in more volatility in our revenues as the change in fair value of our commodity derivative positions is included in total revenue. As commodity prices increase or decrease, such changes will have an opposite effect on the mark-to-market value of our derivatives. Gains on our derivatives generally indicate lower wellhead revenues in the future while losses indicate higher future wellhead revenues. The following table summarizes the impact of our commodity derivatives for the last two years (in thousands):</w:t>
      </w:r>
    </w:p>
    <w:p>
      <w:pPr>
        <w:pStyle w:val="TextBody"/>
        <w:bidi w:val="0"/>
        <w:jc w:val="left"/>
        <w:rPr/>
      </w:pPr>
      <w:r>
        <w:rPr/>
        <w:t> </w:t>
      </w:r>
    </w:p>
    <w:tbl>
      <w:tblPr>
        <w:tblW w:w="7963" w:type="dxa"/>
        <w:jc w:val="left"/>
        <w:tblInd w:w="0" w:type="dxa"/>
        <w:tblLayout w:type="fixed"/>
        <w:tblCellMar>
          <w:top w:w="28" w:type="dxa"/>
          <w:left w:w="28" w:type="dxa"/>
          <w:bottom w:w="28" w:type="dxa"/>
          <w:right w:w="28" w:type="dxa"/>
        </w:tblCellMar>
      </w:tblPr>
      <w:tblGrid>
        <w:gridCol w:w="5206"/>
        <w:gridCol w:w="196"/>
        <w:gridCol w:w="691"/>
        <w:gridCol w:w="166"/>
        <w:gridCol w:w="146"/>
        <w:gridCol w:w="196"/>
        <w:gridCol w:w="751"/>
        <w:gridCol w:w="611"/>
      </w:tblGrid>
      <w:tr>
        <w:trPr/>
        <w:tc>
          <w:tcPr>
            <w:tcW w:w="52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w:t>
              <w:br/>
              <w:t>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Derivative fair value income per consolidated statements of income</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121,535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56,726</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 xml:space="preserve">Non-cash fair value loss: </w:t>
            </w:r>
            <w:r>
              <w:rPr>
                <w:rFonts w:ascii="Times New Roman" w:hAnsi="Times New Roman"/>
                <w:b/>
                <w:color w:val="000000"/>
                <w:sz w:val="12"/>
              </w:rPr>
              <w:t>(a)</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Natural gas derivatives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(364,467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NGLs derivatives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Oil derivatives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(11,199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2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18"/>
              </w:rPr>
            </w:pPr>
            <w:r>
              <w:rPr>
                <w:rFonts w:ascii="Times New Roman" w:hAnsi="Times New Roman"/>
                <w:color w:val="000000"/>
                <w:sz w:val="18"/>
              </w:rPr>
              <w:t xml:space="preserve">Total non-cash fair value loss </w:t>
            </w:r>
            <w:r>
              <w:rPr>
                <w:rFonts w:ascii="Times New Roman" w:hAnsi="Times New Roman"/>
                <w:color w:val="000000"/>
                <w:sz w:val="12"/>
              </w:rPr>
              <w:t>(a)</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(375,666</w:t>
            </w:r>
          </w:p>
        </w:tc>
        <w:tc>
          <w:tcPr>
            <w:tcW w:w="6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cash receipt on derivative settlements:</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Natural gas derivatives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114,864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419,199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NGLs derivatives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3,743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Oil derivatives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9,450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2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net cash receipt</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122,673</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432,392</w:t>
            </w:r>
          </w:p>
        </w:tc>
        <w:tc>
          <w:tcPr>
            <w:tcW w:w="6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Non-cash fair value adjustments on commodity derivatives is a non-GAAP measure. Non-cash fair value adjustments on commodity derivatives only represent the net change between periods of the fair market values of commodity derivative positions and exclude the impact of settlements on commodity derivatives during the period. We believe that non-cash fair value adjustments on commodity derivatives is a useful supplemental disclosure to differentiate non-cash fair market value adjustments from settlements on commodity derivatives during the period. Non-cash fair value adjustments on commodity derivatives is not a measure of financial or operating performance under GAAP, nor should it be considered a substitute for derivative fair value income or loss as reported in our consolidated statements of income.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Brokered natural gas and marketing</w:t>
      </w:r>
      <w:r>
        <w:rPr>
          <w:rFonts w:ascii="Times New Roman" w:hAnsi="Times New Roman"/>
          <w:color w:val="000000"/>
          <w:sz w:val="20"/>
        </w:rPr>
        <w:t xml:space="preserve"> revenue was $172.6 million in 2025 compared to $133.0 million in 2024. We enter into purchase transactions with third parties and separate sale transactions with third parties at different times to utilize available pipeline capacity and to fulfill sales commitments in the event of operational upsets. These brokered revenues increased compared to 2024 due to higher sales prices partially offset by lower brokered volumes. See also </w:t>
      </w:r>
      <w:r>
        <w:rPr>
          <w:rFonts w:ascii="Times New Roman" w:hAnsi="Times New Roman"/>
          <w:i/>
          <w:color w:val="000000"/>
          <w:sz w:val="20"/>
        </w:rPr>
        <w:t>Brokered natural gas and marketing</w:t>
      </w:r>
      <w:r>
        <w:rPr>
          <w:rFonts w:ascii="Times New Roman" w:hAnsi="Times New Roman"/>
          <w:color w:val="000000"/>
          <w:sz w:val="20"/>
        </w:rPr>
        <w:t xml:space="preserve"> expense below for more information on our net brokered margin.</w:t>
      </w:r>
    </w:p>
    <w:p>
      <w:pPr>
        <w:pStyle w:val="TextBody"/>
        <w:bidi w:val="0"/>
        <w:spacing w:before="180" w:after="180"/>
        <w:jc w:val="left"/>
        <w:rPr>
          <w:rFonts w:ascii="Times New Roman" w:hAnsi="Times New Roman"/>
          <w:sz w:val="20"/>
        </w:rPr>
      </w:pPr>
      <w:r>
        <w:rPr>
          <w:rFonts w:ascii="Times New Roman" w:hAnsi="Times New Roman"/>
          <w:b/>
          <w:i/>
          <w:color w:val="000000"/>
          <w:sz w:val="20"/>
        </w:rPr>
        <w:t>Other income</w:t>
      </w:r>
      <w:r>
        <w:rPr>
          <w:rFonts w:ascii="Times New Roman" w:hAnsi="Times New Roman"/>
          <w:color w:val="000000"/>
          <w:sz w:val="20"/>
        </w:rPr>
        <w:t xml:space="preserve"> was $5.8 million in 2025 compared to $13.5 million in 2024. This includes $4.9 million of interest income and $261,000 of gain on sale of assets in 2025 compared to $12.7 million of interest income and $311,000 gain on sale of assets in 2024. Interest income is lower in the current year due to lower cash balances that earn interest in 2025 compared to 2024. In 2023 and prior, interest income was included within brokered natural gas and marketing revenue and other and gain on sale of assets was its own discrete line item within our annual report on Form 10-K for the year ended December 31, 2023. In 2024, and for the prior years presented in the accompanying consolidated statements of income, we reclassified both of these items into other income on the accompanying consolidated statements of income.</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Costs and Expenses per mcfe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believe some of our expense fluctuations are best analyzed on a unit-of-production, or per mcfe, basis. The following presents information about certain of our expenses on a per mcfe basis for the last two years:</w:t>
      </w:r>
    </w:p>
    <w:tbl>
      <w:tblPr>
        <w:tblW w:w="7275" w:type="dxa"/>
        <w:jc w:val="left"/>
        <w:tblInd w:w="0" w:type="dxa"/>
        <w:tblLayout w:type="fixed"/>
        <w:tblCellMar>
          <w:top w:w="28" w:type="dxa"/>
          <w:left w:w="28" w:type="dxa"/>
          <w:bottom w:w="28" w:type="dxa"/>
          <w:right w:w="28" w:type="dxa"/>
        </w:tblCellMar>
      </w:tblPr>
      <w:tblGrid>
        <w:gridCol w:w="3586"/>
        <w:gridCol w:w="196"/>
        <w:gridCol w:w="421"/>
        <w:gridCol w:w="146"/>
        <w:gridCol w:w="146"/>
        <w:gridCol w:w="196"/>
        <w:gridCol w:w="421"/>
        <w:gridCol w:w="146"/>
        <w:gridCol w:w="146"/>
        <w:gridCol w:w="204"/>
        <w:gridCol w:w="502"/>
        <w:gridCol w:w="166"/>
        <w:gridCol w:w="146"/>
        <w:gridCol w:w="146"/>
        <w:gridCol w:w="346"/>
        <w:gridCol w:w="361"/>
      </w:tblGrid>
      <w:tr>
        <w:trPr/>
        <w:tc>
          <w:tcPr>
            <w:tcW w:w="35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 operating expense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Taxes other than income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 expense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Depletion, depreciation and amortization expense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80"/>
        <w:jc w:val="left"/>
        <w:rPr>
          <w:rFonts w:ascii="Times New Roman" w:hAnsi="Times New Roman"/>
          <w:sz w:val="20"/>
        </w:rPr>
      </w:pPr>
      <w:r>
        <w:rPr>
          <w:rFonts w:ascii="Times New Roman" w:hAnsi="Times New Roman"/>
          <w:b/>
          <w:i/>
          <w:color w:val="000000"/>
          <w:sz w:val="20"/>
        </w:rPr>
        <w:t>Direct operating</w:t>
      </w:r>
      <w:r>
        <w:rPr>
          <w:rFonts w:ascii="Times New Roman" w:hAnsi="Times New Roman"/>
          <w:color w:val="000000"/>
          <w:sz w:val="20"/>
        </w:rPr>
        <w:t xml:space="preserve"> expense was $102.2 million in 2025 compared to $95.3 million in 2024. Direct operating expenses include normally recurring expenses to operate and produce our wells, workover and repair-related expenses. Our direct operating expenses for 2025 increased from the prior year primarily due to higher workover and water hauling costs. We incurred $6.0 million of workover costs in 2025 compared to $3.3 million of workover costs in 2024. Stock-based compensation expense represents the amortization of equity grants as part of the compensation of field employees. The following table summarizes direct operating expenses per mcfe for the last two years: </w:t>
      </w:r>
    </w:p>
    <w:tbl>
      <w:tblPr>
        <w:tblW w:w="6475" w:type="dxa"/>
        <w:jc w:val="left"/>
        <w:tblInd w:w="0" w:type="dxa"/>
        <w:tblLayout w:type="fixed"/>
        <w:tblCellMar>
          <w:top w:w="28" w:type="dxa"/>
          <w:left w:w="28" w:type="dxa"/>
          <w:bottom w:w="28" w:type="dxa"/>
          <w:right w:w="28" w:type="dxa"/>
        </w:tblCellMar>
      </w:tblPr>
      <w:tblGrid>
        <w:gridCol w:w="2536"/>
        <w:gridCol w:w="196"/>
        <w:gridCol w:w="421"/>
        <w:gridCol w:w="146"/>
        <w:gridCol w:w="146"/>
        <w:gridCol w:w="196"/>
        <w:gridCol w:w="421"/>
        <w:gridCol w:w="146"/>
        <w:gridCol w:w="146"/>
        <w:gridCol w:w="224"/>
        <w:gridCol w:w="482"/>
        <w:gridCol w:w="146"/>
        <w:gridCol w:w="146"/>
        <w:gridCol w:w="146"/>
        <w:gridCol w:w="376"/>
        <w:gridCol w:w="601"/>
      </w:tblGrid>
      <w:tr>
        <w:trPr/>
        <w:tc>
          <w:tcPr>
            <w:tcW w:w="25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Direct operating</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Lease operating expense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Workovers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6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direct operating expense</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360" w:after="283"/>
        <w:jc w:val="left"/>
        <w:rPr>
          <w:rFonts w:ascii="Times New Roman" w:hAnsi="Times New Roman"/>
          <w:sz w:val="20"/>
        </w:rPr>
      </w:pPr>
      <w:r>
        <w:rPr>
          <w:rFonts w:ascii="Times New Roman" w:hAnsi="Times New Roman"/>
          <w:b/>
          <w:i/>
          <w:color w:val="000000"/>
          <w:sz w:val="20"/>
        </w:rPr>
        <w:t>Taxes other than income</w:t>
      </w:r>
      <w:r>
        <w:rPr>
          <w:rFonts w:ascii="Times New Roman" w:hAnsi="Times New Roman"/>
          <w:color w:val="000000"/>
          <w:sz w:val="20"/>
        </w:rPr>
        <w:t xml:space="preserve"> expense was $32.8 million in 2025 compared to $21.6 million in 2024. This expense category is primarily the Pennsylvania impact fee. In 2012, Pennsylvania enacted an "impact fee" on unconventional natural gas, NGLs and oil production which includes the Marcellus Shale. The impact fee is based upon the year wells are drilled and the fee varies, like a severance tax, based upon natural gas prices. The year ended December 31, 2025 includes a $31.6 million impact fee compared to $21.2 million in the year ended December 31, 2024, with the increase primarily due to an increase in the average fee per well caused by higher natural gas prices in 2025 compared to 2024. This category also includes other taxes such as franchise, real estate and commercial activity taxes. The following table summarizes taxes other than income per mcfe for the last two years:</w:t>
      </w:r>
    </w:p>
    <w:p>
      <w:pPr>
        <w:pStyle w:val="TextBody"/>
        <w:bidi w:val="0"/>
        <w:jc w:val="left"/>
        <w:rPr/>
      </w:pPr>
      <w:r>
        <w:rPr/>
        <w:t> </w:t>
      </w:r>
    </w:p>
    <w:tbl>
      <w:tblPr>
        <w:tblW w:w="6400" w:type="dxa"/>
        <w:jc w:val="left"/>
        <w:tblInd w:w="0" w:type="dxa"/>
        <w:tblLayout w:type="fixed"/>
        <w:tblCellMar>
          <w:top w:w="28" w:type="dxa"/>
          <w:left w:w="28" w:type="dxa"/>
          <w:bottom w:w="28" w:type="dxa"/>
          <w:right w:w="28" w:type="dxa"/>
        </w:tblCellMar>
      </w:tblPr>
      <w:tblGrid>
        <w:gridCol w:w="2491"/>
        <w:gridCol w:w="196"/>
        <w:gridCol w:w="421"/>
        <w:gridCol w:w="146"/>
        <w:gridCol w:w="146"/>
        <w:gridCol w:w="196"/>
        <w:gridCol w:w="421"/>
        <w:gridCol w:w="146"/>
        <w:gridCol w:w="146"/>
        <w:gridCol w:w="224"/>
        <w:gridCol w:w="482"/>
        <w:gridCol w:w="146"/>
        <w:gridCol w:w="146"/>
        <w:gridCol w:w="146"/>
        <w:gridCol w:w="346"/>
        <w:gridCol w:w="601"/>
      </w:tblGrid>
      <w:tr>
        <w:trPr/>
        <w:tc>
          <w:tcPr>
            <w:tcW w:w="24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Taxes other than income</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Impact fee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6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taxes other than income</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360" w:after="180"/>
        <w:jc w:val="left"/>
        <w:rPr>
          <w:rFonts w:ascii="Times New Roman" w:hAnsi="Times New Roman"/>
          <w:sz w:val="20"/>
        </w:rPr>
      </w:pPr>
      <w:r>
        <w:rPr>
          <w:rFonts w:ascii="Times New Roman" w:hAnsi="Times New Roman"/>
          <w:b/>
          <w:i/>
          <w:color w:val="000000"/>
          <w:sz w:val="20"/>
        </w:rPr>
        <w:t>General and administrative</w:t>
      </w:r>
      <w:r>
        <w:rPr>
          <w:rFonts w:ascii="Times New Roman" w:hAnsi="Times New Roman"/>
          <w:color w:val="000000"/>
          <w:sz w:val="20"/>
        </w:rPr>
        <w:t xml:space="preserve"> expense was $178.3 million for 2025 compared to $172.1 million for 2024. The increase in 2025, compared to 2024, is primarily due to higher salary and benefit related costs and higher stock-based compensation. As of December 31, 2025, the number of general and administrative employees remained similar compared to December 31, 2024. Stock-based compensation expense represents the amortization of stock-based compensation awards granted to our employees and our non-employee directors as part of their compensation. The following table summarizes general and administrative expenses per mcfe for the last two years: </w:t>
      </w:r>
    </w:p>
    <w:tbl>
      <w:tblPr>
        <w:tblW w:w="7195" w:type="dxa"/>
        <w:jc w:val="left"/>
        <w:tblInd w:w="0" w:type="dxa"/>
        <w:tblLayout w:type="fixed"/>
        <w:tblCellMar>
          <w:top w:w="28" w:type="dxa"/>
          <w:left w:w="28" w:type="dxa"/>
          <w:bottom w:w="28" w:type="dxa"/>
          <w:right w:w="28" w:type="dxa"/>
        </w:tblCellMar>
      </w:tblPr>
      <w:tblGrid>
        <w:gridCol w:w="3286"/>
        <w:gridCol w:w="196"/>
        <w:gridCol w:w="421"/>
        <w:gridCol w:w="146"/>
        <w:gridCol w:w="146"/>
        <w:gridCol w:w="196"/>
        <w:gridCol w:w="421"/>
        <w:gridCol w:w="146"/>
        <w:gridCol w:w="146"/>
        <w:gridCol w:w="255"/>
        <w:gridCol w:w="451"/>
        <w:gridCol w:w="146"/>
        <w:gridCol w:w="146"/>
        <w:gridCol w:w="146"/>
        <w:gridCol w:w="346"/>
        <w:gridCol w:w="601"/>
      </w:tblGrid>
      <w:tr>
        <w:trPr/>
        <w:tc>
          <w:tcPr>
            <w:tcW w:w="32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General and administrative</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General and administrative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general and administrative expense</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360" w:after="180"/>
        <w:jc w:val="left"/>
        <w:rPr>
          <w:rFonts w:ascii="Times New Roman" w:hAnsi="Times New Roman"/>
          <w:sz w:val="20"/>
        </w:rPr>
      </w:pPr>
      <w:r>
        <w:rPr>
          <w:rFonts w:ascii="Times New Roman" w:hAnsi="Times New Roman"/>
          <w:b/>
          <w:i/>
          <w:color w:val="000000"/>
          <w:sz w:val="20"/>
        </w:rPr>
        <w:t>Interest expense</w:t>
      </w:r>
      <w:r>
        <w:rPr>
          <w:rFonts w:ascii="Times New Roman" w:hAnsi="Times New Roman"/>
          <w:color w:val="000000"/>
          <w:sz w:val="20"/>
        </w:rPr>
        <w:t xml:space="preserve"> was $104.9 million for 2025 compared to $118.8 million for 2024. The following table summarizes interest expense per mcfe for the last two years: </w:t>
      </w:r>
    </w:p>
    <w:tbl>
      <w:tblPr>
        <w:tblW w:w="8626" w:type="dxa"/>
        <w:jc w:val="left"/>
        <w:tblInd w:w="0" w:type="dxa"/>
        <w:tblLayout w:type="fixed"/>
        <w:tblCellMar>
          <w:top w:w="28" w:type="dxa"/>
          <w:left w:w="28" w:type="dxa"/>
          <w:bottom w:w="28" w:type="dxa"/>
          <w:right w:w="28" w:type="dxa"/>
        </w:tblCellMar>
      </w:tblPr>
      <w:tblGrid>
        <w:gridCol w:w="3346"/>
        <w:gridCol w:w="196"/>
        <w:gridCol w:w="826"/>
        <w:gridCol w:w="256"/>
        <w:gridCol w:w="146"/>
        <w:gridCol w:w="196"/>
        <w:gridCol w:w="826"/>
        <w:gridCol w:w="256"/>
        <w:gridCol w:w="146"/>
        <w:gridCol w:w="196"/>
        <w:gridCol w:w="751"/>
        <w:gridCol w:w="256"/>
        <w:gridCol w:w="146"/>
        <w:gridCol w:w="146"/>
        <w:gridCol w:w="376"/>
        <w:gridCol w:w="561"/>
      </w:tblGrid>
      <w:tr>
        <w:trPr/>
        <w:tc>
          <w:tcPr>
            <w:tcW w:w="3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Bank credit facility </w:t>
            </w:r>
            <w:r>
              <w:rPr>
                <w:rFonts w:ascii="Times New Roman" w:hAnsi="Times New Roman"/>
                <w:color w:val="000000"/>
                <w:sz w:val="12"/>
              </w:rPr>
              <w:t>(a)</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Senior notes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Amortization of debt issuance costs and other</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interest expense</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0.13</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0.15</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(0.02</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Average debt outstanding ($000)</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1,435,942</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1,741,648</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(305,706</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 xml:space="preserve">Average interest rate </w:t>
            </w:r>
            <w:r>
              <w:rPr>
                <w:rFonts w:ascii="Times New Roman" w:hAnsi="Times New Roman"/>
                <w:color w:val="000000"/>
                <w:sz w:val="12"/>
              </w:rPr>
              <w:t>(b)</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Includes commitment fees.</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(b)</w:t>
      </w:r>
    </w:p>
    <w:p>
      <w:pPr>
        <w:pStyle w:val="TextBody"/>
        <w:bidi w:val="0"/>
        <w:jc w:val="left"/>
        <w:rPr>
          <w:rFonts w:ascii="Times New Roman" w:hAnsi="Times New Roman"/>
          <w:color w:val="000000"/>
          <w:sz w:val="18"/>
        </w:rPr>
      </w:pPr>
      <w:r>
        <w:rPr>
          <w:rFonts w:ascii="Times New Roman" w:hAnsi="Times New Roman"/>
          <w:color w:val="000000"/>
          <w:sz w:val="18"/>
        </w:rPr>
        <w:t>Excludes debt issuance costs.</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pPr>
      <w:r>
        <w:rPr>
          <w:rFonts w:ascii="Times New Roman" w:hAnsi="Times New Roman"/>
          <w:color w:val="000000"/>
          <w:sz w:val="20"/>
        </w:rPr>
        <w:t xml:space="preserve">The decrease in interest expense from 2024 to 2025 was primarily due to lower overall outstanding average debt balances. In May 2025, we repaid the remaining principal balance of $606.5 million of our 4.875% senior notes due 2025 by utilizing cash on hand and borrowing on our credit facility. We had $118.0 million outstanding on the bank credit facility as of December 31, 2025 compared to no bank debt outstanding for the same period of 2024. See </w:t>
      </w:r>
      <w:hyperlink w:anchor="note_6">
        <w:r>
          <w:rPr>
            <w:rStyle w:val="InternetLink"/>
            <w:rFonts w:ascii="Times New Roman" w:hAnsi="Times New Roman"/>
            <w:color w:val="0000FF"/>
            <w:sz w:val="20"/>
            <w:u w:val="single"/>
          </w:rPr>
          <w:t>Note 6</w:t>
        </w:r>
      </w:hyperlink>
      <w:r>
        <w:rPr>
          <w:rFonts w:ascii="Times New Roman" w:hAnsi="Times New Roman"/>
          <w:color w:val="000000"/>
          <w:sz w:val="20"/>
        </w:rPr>
        <w:t xml:space="preserve"> to our consolidated financial statements for additional information.</w:t>
      </w:r>
    </w:p>
    <w:p>
      <w:pPr>
        <w:pStyle w:val="TextBody"/>
        <w:bidi w:val="0"/>
        <w:spacing w:before="0" w:after="180"/>
        <w:jc w:val="left"/>
        <w:rPr>
          <w:rFonts w:ascii="Times New Roman" w:hAnsi="Times New Roman"/>
          <w:sz w:val="20"/>
        </w:rPr>
      </w:pPr>
      <w:r>
        <w:rPr>
          <w:rFonts w:ascii="Times New Roman" w:hAnsi="Times New Roman"/>
          <w:b/>
          <w:i/>
          <w:color w:val="000000"/>
          <w:sz w:val="20"/>
        </w:rPr>
        <w:t>Depletion, depreciation and amortization</w:t>
      </w:r>
      <w:r>
        <w:rPr>
          <w:rFonts w:ascii="Times New Roman" w:hAnsi="Times New Roman"/>
          <w:color w:val="000000"/>
          <w:sz w:val="20"/>
        </w:rPr>
        <w:t xml:space="preserve"> ("DD&amp;A") was $370.5 million in 2025 compared to $358.4 million in 2024. The increase in 2025 compared to 2024 is due to higher production volumes. Depletion expense, the largest component of DD&amp;A, was $0.44 per mcfe in 2025 compared to $0.44 per mcfe in 2024. We have historically adjusted our depletion rates in the fourth quarter of each year based on our year-end reserve report and at other times during the year when circumstances indicate there has been a significant change in reserves or costs. The following table summarizes DD&amp;A expenses per mcfe for the last two years: </w:t>
      </w:r>
    </w:p>
    <w:tbl>
      <w:tblPr>
        <w:tblW w:w="6135" w:type="dxa"/>
        <w:jc w:val="left"/>
        <w:tblInd w:w="0" w:type="dxa"/>
        <w:tblLayout w:type="fixed"/>
        <w:tblCellMar>
          <w:top w:w="28" w:type="dxa"/>
          <w:left w:w="28" w:type="dxa"/>
          <w:bottom w:w="28" w:type="dxa"/>
          <w:right w:w="28" w:type="dxa"/>
        </w:tblCellMar>
      </w:tblPr>
      <w:tblGrid>
        <w:gridCol w:w="2226"/>
        <w:gridCol w:w="196"/>
        <w:gridCol w:w="421"/>
        <w:gridCol w:w="146"/>
        <w:gridCol w:w="146"/>
        <w:gridCol w:w="196"/>
        <w:gridCol w:w="421"/>
        <w:gridCol w:w="146"/>
        <w:gridCol w:w="146"/>
        <w:gridCol w:w="255"/>
        <w:gridCol w:w="451"/>
        <w:gridCol w:w="146"/>
        <w:gridCol w:w="146"/>
        <w:gridCol w:w="146"/>
        <w:gridCol w:w="346"/>
        <w:gridCol w:w="601"/>
      </w:tblGrid>
      <w:tr>
        <w:trPr/>
        <w:tc>
          <w:tcPr>
            <w:tcW w:w="22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2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DD&amp;A</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2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Depletion and amortization</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2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2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Accretion and other</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222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DD&amp;A expense</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360" w:after="180"/>
        <w:jc w:val="left"/>
        <w:rPr>
          <w:rFonts w:ascii="Times New Roman" w:hAnsi="Times New Roman"/>
          <w:sz w:val="20"/>
        </w:rPr>
      </w:pPr>
      <w:r>
        <w:rPr>
          <w:rFonts w:ascii="Times New Roman" w:hAnsi="Times New Roman"/>
          <w:b/>
          <w:i/>
          <w:color w:val="000000"/>
          <w:sz w:val="20"/>
        </w:rPr>
        <w:t>Other Operating Expenses</w:t>
      </w:r>
      <w:r>
        <w:rPr>
          <w:rFonts w:ascii="Times New Roman" w:hAnsi="Times New Roman"/>
          <w:color w:val="000000"/>
          <w:sz w:val="20"/>
        </w:rPr>
        <w:t xml:space="preserve"> </w:t>
      </w:r>
    </w:p>
    <w:p>
      <w:pPr>
        <w:pStyle w:val="TextBody"/>
        <w:bidi w:val="0"/>
        <w:spacing w:before="0" w:after="180"/>
        <w:jc w:val="left"/>
        <w:rPr/>
      </w:pPr>
      <w:r>
        <w:rPr>
          <w:rFonts w:ascii="Times New Roman" w:hAnsi="Times New Roman"/>
          <w:color w:val="000000"/>
          <w:sz w:val="20"/>
        </w:rPr>
        <w:t xml:space="preserve">Our total operating expenses also include other expenses that generally do not trend with production. These expenses include stock-based compensation (including the amortization of time-based stock awards and performance-based stock awards), brokered natural gas and marketing, exploration expense, abandonment and impairment of unproved properties, exit costs, deferred compensation plan and gain or loss on early extinguishment of debt. See </w:t>
      </w:r>
      <w:hyperlink w:anchor="note_10">
        <w:r>
          <w:rPr>
            <w:rStyle w:val="InternetLink"/>
            <w:rFonts w:ascii="Times New Roman" w:hAnsi="Times New Roman"/>
            <w:color w:val="0000FF"/>
            <w:sz w:val="20"/>
            <w:u w:val="single"/>
          </w:rPr>
          <w:t>Note 10</w:t>
        </w:r>
      </w:hyperlink>
      <w:r>
        <w:rPr>
          <w:rFonts w:ascii="Times New Roman" w:hAnsi="Times New Roman"/>
          <w:color w:val="000000"/>
          <w:sz w:val="20"/>
        </w:rPr>
        <w:t xml:space="preserve"> to our consolidated financial statements for more information on allocation of stock-based compensation to functional expense categories.</w:t>
      </w:r>
    </w:p>
    <w:p>
      <w:pPr>
        <w:pStyle w:val="TextBody"/>
        <w:bidi w:val="0"/>
        <w:spacing w:before="0" w:after="180"/>
        <w:jc w:val="left"/>
        <w:rPr>
          <w:rFonts w:ascii="Times New Roman" w:hAnsi="Times New Roman"/>
          <w:sz w:val="20"/>
        </w:rPr>
      </w:pPr>
      <w:r>
        <w:rPr>
          <w:rFonts w:ascii="Times New Roman" w:hAnsi="Times New Roman"/>
          <w:b/>
          <w:i/>
          <w:color w:val="000000"/>
          <w:sz w:val="20"/>
        </w:rPr>
        <w:t>Brokered natural gas and marketing</w:t>
      </w:r>
      <w:r>
        <w:rPr>
          <w:rFonts w:ascii="Times New Roman" w:hAnsi="Times New Roman"/>
          <w:color w:val="000000"/>
          <w:sz w:val="20"/>
        </w:rPr>
        <w:t xml:space="preserve"> expense was $185.6 million in 2025 compared to $140.5 million in 2024. We enter into purchase transactions with third parties and separate sale transactions with third parties at different times to utilize available pipeline capacity and fulfill sales commitments in the event of operational upsets. The increase in these costs reflects higher purchase prices partially offset by lower purchased volumes. The following table details our brokered natural gas and marketing net margin which includes the net effect of these third-party transactions for the last two years (in thousands):</w:t>
      </w:r>
    </w:p>
    <w:tbl>
      <w:tblPr>
        <w:tblW w:w="6723" w:type="dxa"/>
        <w:jc w:val="left"/>
        <w:tblInd w:w="0" w:type="dxa"/>
        <w:tblLayout w:type="fixed"/>
        <w:tblCellMar>
          <w:top w:w="28" w:type="dxa"/>
          <w:left w:w="28" w:type="dxa"/>
          <w:bottom w:w="28" w:type="dxa"/>
          <w:right w:w="28" w:type="dxa"/>
        </w:tblCellMar>
      </w:tblPr>
      <w:tblGrid>
        <w:gridCol w:w="4006"/>
        <w:gridCol w:w="196"/>
        <w:gridCol w:w="751"/>
        <w:gridCol w:w="166"/>
        <w:gridCol w:w="146"/>
        <w:gridCol w:w="196"/>
        <w:gridCol w:w="751"/>
        <w:gridCol w:w="511"/>
      </w:tblGrid>
      <w:tr>
        <w:trPr/>
        <w:tc>
          <w:tcPr>
            <w:tcW w:w="40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w:t>
              <w:br/>
              <w:t>December 31,</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Brokered natural gas and marketing</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Brokered natural gas sales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164,191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119,767</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Brokered NGLs sales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5,370</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marketing revenue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7,911</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Brokered natural gas purchases and transportation</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(171,010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(123,851</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Brokered NGLs purchases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(4,947</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marketing expense</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(11,747</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Net brokered natural gas and marketing net margin</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(7,497</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360" w:after="180"/>
        <w:jc w:val="left"/>
        <w:rPr>
          <w:rFonts w:ascii="Times New Roman" w:hAnsi="Times New Roman"/>
          <w:sz w:val="20"/>
        </w:rPr>
      </w:pPr>
      <w:r>
        <w:rPr>
          <w:rFonts w:ascii="Times New Roman" w:hAnsi="Times New Roman"/>
          <w:b/>
          <w:i/>
          <w:color w:val="000000"/>
          <w:sz w:val="20"/>
        </w:rPr>
        <w:t>Exploration</w:t>
      </w:r>
      <w:r>
        <w:rPr>
          <w:rFonts w:ascii="Times New Roman" w:hAnsi="Times New Roman"/>
          <w:color w:val="000000"/>
          <w:sz w:val="20"/>
        </w:rPr>
        <w:t xml:space="preserve"> expense was $30.2 million in 2025 compared to $26.8 million in 2024. Exploration expense in 2025 was higher compared to the prior year due to higher delay rentals, seismic costs and personnel expense. Stock-based compensation represents the amortization of equity stock grants as part of the compensation of our exploration staff. The following table details our exploration related expenses for the last two years (in thousands): </w:t>
      </w:r>
    </w:p>
    <w:tbl>
      <w:tblPr>
        <w:tblW w:w="7126" w:type="dxa"/>
        <w:jc w:val="left"/>
        <w:tblInd w:w="0" w:type="dxa"/>
        <w:tblLayout w:type="fixed"/>
        <w:tblCellMar>
          <w:top w:w="28" w:type="dxa"/>
          <w:left w:w="28" w:type="dxa"/>
          <w:bottom w:w="28" w:type="dxa"/>
          <w:right w:w="28" w:type="dxa"/>
        </w:tblCellMar>
      </w:tblPr>
      <w:tblGrid>
        <w:gridCol w:w="2826"/>
        <w:gridCol w:w="196"/>
        <w:gridCol w:w="601"/>
        <w:gridCol w:w="146"/>
        <w:gridCol w:w="146"/>
        <w:gridCol w:w="196"/>
        <w:gridCol w:w="601"/>
        <w:gridCol w:w="146"/>
        <w:gridCol w:w="146"/>
        <w:gridCol w:w="196"/>
        <w:gridCol w:w="511"/>
        <w:gridCol w:w="146"/>
        <w:gridCol w:w="146"/>
        <w:gridCol w:w="146"/>
        <w:gridCol w:w="376"/>
        <w:gridCol w:w="601"/>
      </w:tblGrid>
      <w:tr>
        <w:trPr/>
        <w:tc>
          <w:tcPr>
            <w:tcW w:w="28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2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Exploration</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8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Delay rentals and other</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6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8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Seismic</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w:t>
            </w:r>
          </w:p>
        </w:tc>
        <w:tc>
          <w:tcPr>
            <w:tcW w:w="6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8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Personnel expense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6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8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 expense</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60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282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exploration expense</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sz w:val="20"/>
        </w:rPr>
      </w:pPr>
      <w:r>
        <w:rPr>
          <w:rFonts w:ascii="Times New Roman" w:hAnsi="Times New Roman"/>
          <w:b/>
          <w:i/>
          <w:color w:val="000000"/>
          <w:sz w:val="20"/>
        </w:rPr>
        <w:t>Abandonment and impairment of unproved properties</w:t>
      </w:r>
      <w:r>
        <w:rPr>
          <w:rFonts w:ascii="Times New Roman" w:hAnsi="Times New Roman"/>
          <w:color w:val="000000"/>
          <w:sz w:val="20"/>
        </w:rPr>
        <w:t xml:space="preserve"> was $28.9 million in 2025 compared to $8.4 million in 2024. These costs increased compared to 2024 due to higher estimated lease expirations in Pennsylvania. Impairment of individually insignificant unproved properties is assessed and amortized on an aggregate basis based on our average holding period, expected forfeiture rate and anticipated drilling success. We assess individually significant unproved properties for impairment on a quarterly basis and recognize a loss where circumstances indicate impairment in value. In determining whether a significant unproved property is impaired we consider numerous factors including, but not limited to, current exploration plans, favorable or unfavorable activity on the property being evaluated and/or adjacent properties, our geologists’ evaluation of the property and the remaining months in the lease term for the property. </w:t>
      </w:r>
    </w:p>
    <w:p>
      <w:pPr>
        <w:pStyle w:val="TextBody"/>
        <w:bidi w:val="0"/>
        <w:spacing w:before="0" w:after="180"/>
        <w:jc w:val="left"/>
        <w:rPr/>
      </w:pPr>
      <w:r>
        <w:rPr>
          <w:rFonts w:ascii="Times New Roman" w:hAnsi="Times New Roman"/>
          <w:b/>
          <w:i/>
          <w:color w:val="000000"/>
          <w:sz w:val="20"/>
        </w:rPr>
        <w:t>Exit</w:t>
      </w:r>
      <w:r>
        <w:rPr>
          <w:rFonts w:ascii="Times New Roman" w:hAnsi="Times New Roman"/>
          <w:color w:val="000000"/>
          <w:sz w:val="20"/>
        </w:rPr>
        <w:t xml:space="preserve"> </w:t>
      </w:r>
      <w:r>
        <w:rPr>
          <w:rFonts w:ascii="Times New Roman" w:hAnsi="Times New Roman"/>
          <w:b/>
          <w:i/>
          <w:color w:val="000000"/>
          <w:sz w:val="20"/>
        </w:rPr>
        <w:t xml:space="preserve">costs </w:t>
      </w:r>
      <w:r>
        <w:rPr>
          <w:rFonts w:ascii="Times New Roman" w:hAnsi="Times New Roman"/>
          <w:color w:val="000000"/>
          <w:sz w:val="20"/>
        </w:rPr>
        <w:t xml:space="preserve">were $25.7 million in 2025 compared to $37.2 million in 2024. In August 2020, we completed the sale of our North Louisiana operations in a transaction that included the retention of certain related gathering, transportation and processing obligations extending until 2030. In the year ended December 31, 2025, we recorded $33.1 million of accretion expense related to these retained liabilities, and during 2025, we recorded an adjustment of $7.4 million to decrease this obligation mainly due to a decrease in certain expected gathering and transportation costs. In the year ended December 31, 2024, we recorded $39.2 million of accretion expense related to these retained liabilities, and we recorded an adjustment of $2.1 million to decrease this obligation mainly due to a decrease in forecasted electricity costs. See </w:t>
      </w:r>
      <w:hyperlink w:anchor="note_14">
        <w:r>
          <w:rPr>
            <w:rStyle w:val="InternetLink"/>
            <w:rFonts w:ascii="Times New Roman" w:hAnsi="Times New Roman"/>
            <w:color w:val="0000FF"/>
            <w:sz w:val="20"/>
            <w:u w:val="single"/>
          </w:rPr>
          <w:t>Note 14</w:t>
        </w:r>
      </w:hyperlink>
      <w:r>
        <w:rPr>
          <w:rFonts w:ascii="Times New Roman" w:hAnsi="Times New Roman"/>
          <w:color w:val="000000"/>
          <w:sz w:val="20"/>
        </w:rPr>
        <w:t xml:space="preserve"> to our consolidated financial statements for further detail.</w:t>
      </w:r>
    </w:p>
    <w:p>
      <w:pPr>
        <w:pStyle w:val="TextBody"/>
        <w:bidi w:val="0"/>
        <w:spacing w:before="0" w:after="180"/>
        <w:jc w:val="left"/>
        <w:rPr/>
      </w:pPr>
      <w:r>
        <w:rPr>
          <w:rFonts w:ascii="Times New Roman" w:hAnsi="Times New Roman"/>
          <w:b/>
          <w:i/>
          <w:color w:val="000000"/>
          <w:sz w:val="20"/>
        </w:rPr>
        <w:t>Deferred compensation plan</w:t>
      </w:r>
      <w:r>
        <w:rPr>
          <w:rFonts w:ascii="Times New Roman" w:hAnsi="Times New Roman"/>
          <w:color w:val="000000"/>
          <w:sz w:val="20"/>
        </w:rPr>
        <w:t xml:space="preserve"> expense was $1.4 million in 2025 compared to $9.6 million in 2024. Our stock price decreased to $35.26 at December 31, 2025 from $35.98 at December 31, 2024. This non-cash item relates to the increase or decrease in value of the liability associated with our common stock that is vested and held in our deferred compensation plan. The deferred compensation liability is adjusted to fair value by a charge or a credit to deferred compensation plan expense. The deferred compensation plan held 258,000 vested shares at December 31, 2025 compared to 724,000 shares at December 31, 2024. See </w:t>
      </w:r>
      <w:hyperlink w:anchor="note_10">
        <w:r>
          <w:rPr>
            <w:rStyle w:val="InternetLink"/>
            <w:rFonts w:ascii="Times New Roman" w:hAnsi="Times New Roman"/>
            <w:color w:val="0000FF"/>
            <w:sz w:val="20"/>
            <w:u w:val="single"/>
          </w:rPr>
          <w:t>Note 10</w:t>
        </w:r>
      </w:hyperlink>
      <w:r>
        <w:rPr>
          <w:rFonts w:ascii="Times New Roman" w:hAnsi="Times New Roman"/>
          <w:color w:val="000000"/>
          <w:sz w:val="20"/>
        </w:rPr>
        <w:t xml:space="preserve"> to our consolidated financial statements for further detail.</w:t>
      </w:r>
    </w:p>
    <w:p>
      <w:pPr>
        <w:pStyle w:val="TextBody"/>
        <w:bidi w:val="0"/>
        <w:spacing w:before="0" w:after="180"/>
        <w:jc w:val="left"/>
        <w:rPr>
          <w:rFonts w:ascii="Times New Roman" w:hAnsi="Times New Roman"/>
          <w:sz w:val="20"/>
        </w:rPr>
      </w:pPr>
      <w:r>
        <w:rPr>
          <w:rFonts w:ascii="Times New Roman" w:hAnsi="Times New Roman"/>
          <w:b/>
          <w:i/>
          <w:color w:val="000000"/>
          <w:sz w:val="20"/>
        </w:rPr>
        <w:t xml:space="preserve">Gain on early extinguishment of debt </w:t>
      </w:r>
      <w:r>
        <w:rPr>
          <w:rFonts w:ascii="Times New Roman" w:hAnsi="Times New Roman"/>
          <w:color w:val="000000"/>
          <w:sz w:val="20"/>
        </w:rPr>
        <w:t>was a gain of $3,000 in 2025 compared to a gain of $257,000 in 2024. During 2025, we repurchased in the open market $2.2 million principal amount of our 4.875% senior notes due 2025 at a discount and recorded a gain of $3,000, net of transaction costs and the expensing of debt issuance costs on the repurchased debt. During 2024, we purchased on the open market $79.7 million principal amount of 4.875% senior notes due in May of 2025 at a discount and recognized a gain on early extinguishment of debt of $257,000 net of transaction costs and the expensing of debt issuance costs on the repurchased debt.</w:t>
      </w:r>
    </w:p>
    <w:p>
      <w:pPr>
        <w:pStyle w:val="TextBody"/>
        <w:bidi w:val="0"/>
        <w:spacing w:before="0" w:after="180"/>
        <w:jc w:val="left"/>
        <w:rPr>
          <w:rFonts w:ascii="Times New Roman" w:hAnsi="Times New Roman"/>
          <w:sz w:val="20"/>
        </w:rPr>
      </w:pPr>
      <w:r>
        <w:rPr>
          <w:rFonts w:ascii="Times New Roman" w:hAnsi="Times New Roman"/>
          <w:b/>
          <w:i/>
          <w:color w:val="000000"/>
          <w:sz w:val="20"/>
        </w:rPr>
        <w:t>Income tax expense</w:t>
      </w:r>
      <w:r>
        <w:rPr>
          <w:rFonts w:ascii="Times New Roman" w:hAnsi="Times New Roman"/>
          <w:color w:val="000000"/>
          <w:sz w:val="20"/>
        </w:rPr>
        <w:t xml:space="preserve"> was $173.7 million in 2025 compared to a benefit of $15.7 million in 2024. Income tax expense was higher than prior year due to higher operating income in 2025 combined with the impact of prior year decreases in our valuation allowances and generation of tax credits in 2024. See </w:t>
      </w:r>
      <w:r>
        <w:rPr>
          <w:rFonts w:ascii="Times New Roman" w:hAnsi="Times New Roman"/>
          <w:color w:val="0000FF"/>
          <w:sz w:val="20"/>
          <w:u w:val="single"/>
        </w:rPr>
        <w:t>Note 4</w:t>
      </w:r>
      <w:r>
        <w:rPr>
          <w:rFonts w:ascii="Times New Roman" w:hAnsi="Times New Roman"/>
          <w:color w:val="000000"/>
          <w:sz w:val="20"/>
        </w:rPr>
        <w:t xml:space="preserve"> to our consolidated financial statements for further detail. The following is a summary of income tax expense (in thousands):</w:t>
      </w:r>
    </w:p>
    <w:tbl>
      <w:tblPr>
        <w:tblW w:w="6453" w:type="dxa"/>
        <w:jc w:val="left"/>
        <w:tblInd w:w="0" w:type="dxa"/>
        <w:tblLayout w:type="fixed"/>
        <w:tblCellMar>
          <w:top w:w="28" w:type="dxa"/>
          <w:left w:w="28" w:type="dxa"/>
          <w:bottom w:w="28" w:type="dxa"/>
          <w:right w:w="28" w:type="dxa"/>
        </w:tblCellMar>
      </w:tblPr>
      <w:tblGrid>
        <w:gridCol w:w="3796"/>
        <w:gridCol w:w="196"/>
        <w:gridCol w:w="691"/>
        <w:gridCol w:w="256"/>
        <w:gridCol w:w="146"/>
        <w:gridCol w:w="196"/>
        <w:gridCol w:w="661"/>
        <w:gridCol w:w="511"/>
      </w:tblGrid>
      <w:tr>
        <w:trPr/>
        <w:tc>
          <w:tcPr>
            <w:tcW w:w="37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Income tax expense (benefit)</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Current tax expense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9,394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8,165</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income tax expense (benefit)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164,272</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(23,900</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income tax expense (benefit)</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173,666</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(15,735</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Combined federal and state effective income tax rate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360" w:after="180"/>
        <w:jc w:val="left"/>
        <w:rPr>
          <w:rFonts w:ascii="Times New Roman" w:hAnsi="Times New Roman"/>
          <w:sz w:val="20"/>
        </w:rPr>
      </w:pPr>
      <w:bookmarkStart w:id="39" w:name="mda_financial"/>
      <w:bookmarkEnd w:id="39"/>
      <w:r>
        <w:rPr>
          <w:rFonts w:ascii="Times New Roman" w:hAnsi="Times New Roman"/>
          <w:b/>
          <w:color w:val="000000"/>
          <w:sz w:val="20"/>
        </w:rPr>
        <w:t>Management’s Discussion and Analysis of Financial Condition, Cash Flows, Capital Resources and Liquidity</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Commodity prices are the most significant factor impacting our revenues, net income, operating cash flows, the amount of capital we have available to invest in our business, pay dividends and fund share or debt repurchases. Commodity prices have been and are expected to remain volatile. Our top priorities for using cash provided by operations are to fund our capital budget program, return capital to stockholders, and maintain a strong balance sheet, while making prudent investments in our business. We currently believe we have sufficient liquidity and capital resources to execute our business plan for the foreseeable future and across a wide range of commodity price scenarios. We continue to manage the duration and level of our drilling and completion commitments in order to maintain flexibility with regard to our activity level and capital expenditures.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sz w:val="20"/>
        </w:rPr>
      </w:pPr>
      <w:r>
        <w:rPr>
          <w:rFonts w:ascii="Times New Roman" w:hAnsi="Times New Roman"/>
          <w:b/>
          <w:color w:val="000000"/>
          <w:sz w:val="20"/>
        </w:rPr>
        <w:t>Cash Flows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following table presents sources and uses of cash and cash equivalents for the last two years (in thousands):</w:t>
      </w:r>
    </w:p>
    <w:p>
      <w:pPr>
        <w:pStyle w:val="TextBody"/>
        <w:bidi w:val="0"/>
        <w:jc w:val="left"/>
        <w:rPr/>
      </w:pPr>
      <w:r>
        <w:rPr/>
        <w:t> </w:t>
      </w:r>
    </w:p>
    <w:tbl>
      <w:tblPr>
        <w:tblW w:w="6658" w:type="dxa"/>
        <w:jc w:val="left"/>
        <w:tblInd w:w="0" w:type="dxa"/>
        <w:tblLayout w:type="fixed"/>
        <w:tblCellMar>
          <w:top w:w="28" w:type="dxa"/>
          <w:left w:w="28" w:type="dxa"/>
          <w:bottom w:w="28" w:type="dxa"/>
          <w:right w:w="28" w:type="dxa"/>
        </w:tblCellMar>
      </w:tblPr>
      <w:tblGrid>
        <w:gridCol w:w="3831"/>
        <w:gridCol w:w="196"/>
        <w:gridCol w:w="886"/>
        <w:gridCol w:w="166"/>
        <w:gridCol w:w="146"/>
        <w:gridCol w:w="196"/>
        <w:gridCol w:w="826"/>
        <w:gridCol w:w="411"/>
      </w:tblGrid>
      <w:tr>
        <w:trPr/>
        <w:tc>
          <w:tcPr>
            <w:tcW w:w="38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Sources of cash and cash equivalents</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activities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1,171,324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944,514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Disposal of assets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Borrowing on credit facility</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1,334,000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66,363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Total sources of cash and cash equivalents</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2,540,737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1,011,190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Uses of cash and cash equivalents</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Additions to natural gas, NGLs and oil properties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(581,489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(570,426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Repayments on credit facility</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(1,216,000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Acreage purchases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(56,814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(56,085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Additions to field service assets and other</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Repayment of senior notes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(608,699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(79,272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Treasury stock purchases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(230,568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(65,260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Dividends paid</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(85,680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(77,463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(62,561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(68,099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Total uses of cash and cash equivalents</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(2,845,023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(918,674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360" w:after="180"/>
        <w:jc w:val="left"/>
        <w:rPr>
          <w:rFonts w:ascii="Times New Roman" w:hAnsi="Times New Roman"/>
          <w:i/>
          <w:color w:val="000000"/>
          <w:sz w:val="20"/>
        </w:rPr>
      </w:pPr>
      <w:r>
        <w:rPr>
          <w:rFonts w:ascii="Times New Roman" w:hAnsi="Times New Roman"/>
          <w:i/>
          <w:color w:val="000000"/>
          <w:sz w:val="20"/>
        </w:rPr>
        <w:t>Sources of Cash and Cash Equivalents</w:t>
      </w:r>
    </w:p>
    <w:p>
      <w:pPr>
        <w:pStyle w:val="TextBody"/>
        <w:bidi w:val="0"/>
        <w:spacing w:before="0" w:after="180"/>
        <w:jc w:val="left"/>
        <w:rPr>
          <w:rFonts w:ascii="Times New Roman" w:hAnsi="Times New Roman"/>
          <w:sz w:val="20"/>
        </w:rPr>
      </w:pPr>
      <w:r>
        <w:rPr>
          <w:rFonts w:ascii="Times New Roman" w:hAnsi="Times New Roman"/>
          <w:b/>
          <w:i/>
          <w:color w:val="000000"/>
          <w:sz w:val="20"/>
        </w:rPr>
        <w:t>Cash flow from operating activities</w:t>
      </w:r>
      <w:r>
        <w:rPr>
          <w:rFonts w:ascii="Times New Roman" w:hAnsi="Times New Roman"/>
          <w:color w:val="000000"/>
          <w:sz w:val="20"/>
        </w:rPr>
        <w:t xml:space="preserve"> in 2025 was $1.2 billion compared to $944.5 million in 2024. Cash provided from operating activities is largely dependent upon commodity prices and production volumes, net of the effects of settlement of our derivative contracts. The increase in cash provided from operating activities in 2025 from 2024 reflects higher realized prices and lower working capital outflow. Changes in working capital (as reflected in our consolidated statements of cash flows) for 2025 was an outflow of $129.2 million compared to an outflow of $135.3 million for 2024. </w:t>
      </w:r>
    </w:p>
    <w:p>
      <w:pPr>
        <w:pStyle w:val="TextBody"/>
        <w:bidi w:val="0"/>
        <w:spacing w:before="0" w:after="180"/>
        <w:jc w:val="left"/>
        <w:rPr>
          <w:rFonts w:ascii="Times New Roman" w:hAnsi="Times New Roman"/>
          <w:sz w:val="20"/>
        </w:rPr>
      </w:pPr>
      <w:r>
        <w:rPr>
          <w:rFonts w:ascii="Times New Roman" w:hAnsi="Times New Roman"/>
          <w:b/>
          <w:i/>
          <w:color w:val="000000"/>
          <w:sz w:val="20"/>
        </w:rPr>
        <w:t>Borrowing on credit facility</w:t>
      </w:r>
      <w:r>
        <w:rPr>
          <w:rFonts w:ascii="Times New Roman" w:hAnsi="Times New Roman"/>
          <w:color w:val="000000"/>
          <w:sz w:val="20"/>
        </w:rPr>
        <w:t xml:space="preserve"> in 2025 was $1.3 billion of which approximately $447.0 million was utilized for the repayment of principal of our 4.875% senior notes due 2025 at their maturity date in May. Borrowings net of repayments for 2025 brought the credit facility balance to $118.0 million as of December 31, 2025. </w:t>
      </w:r>
    </w:p>
    <w:p>
      <w:pPr>
        <w:pStyle w:val="TextBody"/>
        <w:bidi w:val="0"/>
        <w:spacing w:before="0" w:after="180"/>
        <w:jc w:val="left"/>
        <w:rPr>
          <w:rFonts w:ascii="Times New Roman" w:hAnsi="Times New Roman"/>
          <w:i/>
          <w:color w:val="000000"/>
          <w:sz w:val="20"/>
        </w:rPr>
      </w:pPr>
      <w:r>
        <w:rPr>
          <w:rFonts w:ascii="Times New Roman" w:hAnsi="Times New Roman"/>
          <w:i/>
          <w:color w:val="000000"/>
          <w:sz w:val="20"/>
        </w:rPr>
        <w:t>Uses of Cash and Cash Equivalents</w:t>
      </w:r>
    </w:p>
    <w:p>
      <w:pPr>
        <w:pStyle w:val="TextBody"/>
        <w:bidi w:val="0"/>
        <w:spacing w:before="0" w:after="120"/>
        <w:jc w:val="left"/>
        <w:rPr>
          <w:rFonts w:ascii="Times New Roman" w:hAnsi="Times New Roman"/>
          <w:sz w:val="20"/>
        </w:rPr>
      </w:pPr>
      <w:r>
        <w:rPr>
          <w:rFonts w:ascii="Times New Roman" w:hAnsi="Times New Roman"/>
          <w:b/>
          <w:i/>
          <w:color w:val="000000"/>
          <w:sz w:val="20"/>
        </w:rPr>
        <w:t xml:space="preserve">Additions to natural gas, NGLs and oil properties </w:t>
      </w:r>
      <w:r>
        <w:rPr>
          <w:rFonts w:ascii="Times New Roman" w:hAnsi="Times New Roman"/>
          <w:color w:val="000000"/>
          <w:sz w:val="20"/>
        </w:rPr>
        <w:t>are our most significant use of cash and cash equivalents. These cash outlays are associated with our drilling and completion capital investment program. The following table shows capital investments and reconciles to additions to natural gas, NGLs and oil properties as presented on our consolidated statements of cash flows for the last two years (in thousands):</w:t>
      </w:r>
    </w:p>
    <w:p>
      <w:pPr>
        <w:pStyle w:val="TextBody"/>
        <w:bidi w:val="0"/>
        <w:jc w:val="center"/>
        <w:rPr/>
      </w:pPr>
      <w:r>
        <w:rPr/>
        <w:t> </w:t>
      </w:r>
    </w:p>
    <w:tbl>
      <w:tblPr>
        <w:tblW w:w="6934" w:type="dxa"/>
        <w:jc w:val="left"/>
        <w:tblInd w:w="0" w:type="dxa"/>
        <w:tblLayout w:type="fixed"/>
        <w:tblCellMar>
          <w:top w:w="28" w:type="dxa"/>
          <w:left w:w="28" w:type="dxa"/>
          <w:bottom w:w="28" w:type="dxa"/>
          <w:right w:w="28" w:type="dxa"/>
        </w:tblCellMar>
      </w:tblPr>
      <w:tblGrid>
        <w:gridCol w:w="4291"/>
        <w:gridCol w:w="146"/>
        <w:gridCol w:w="196"/>
        <w:gridCol w:w="691"/>
        <w:gridCol w:w="166"/>
        <w:gridCol w:w="146"/>
        <w:gridCol w:w="196"/>
        <w:gridCol w:w="691"/>
        <w:gridCol w:w="411"/>
      </w:tblGrid>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Additions due to natural gas, NGLs and oil properties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616,909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593,998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 in capital expenditure accrual for proved properties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(23,318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 in other non-cash 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Additions to natural gas, NGLs and oil properties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581,489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570,426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180"/>
        <w:jc w:val="left"/>
        <w:rPr>
          <w:rFonts w:ascii="Times New Roman" w:hAnsi="Times New Roman"/>
          <w:sz w:val="20"/>
        </w:rPr>
      </w:pPr>
      <w:r>
        <w:rPr>
          <w:rFonts w:ascii="Times New Roman" w:hAnsi="Times New Roman"/>
          <w:b/>
          <w:i/>
          <w:color w:val="000000"/>
          <w:sz w:val="20"/>
        </w:rPr>
        <w:t xml:space="preserve">Repayment of senior notes </w:t>
      </w:r>
      <w:r>
        <w:rPr>
          <w:rFonts w:ascii="Times New Roman" w:hAnsi="Times New Roman"/>
          <w:color w:val="000000"/>
          <w:sz w:val="20"/>
        </w:rPr>
        <w:t xml:space="preserve">for 2025 includes the payoff of principal of our 4.875% senior notes due 2025 at its maturity date through utilization of cash and borrowing on our credit facility. </w:t>
      </w:r>
    </w:p>
    <w:p>
      <w:pPr>
        <w:pStyle w:val="TextBody"/>
        <w:bidi w:val="0"/>
        <w:spacing w:before="0" w:after="180"/>
        <w:jc w:val="left"/>
        <w:rPr>
          <w:rFonts w:ascii="Times New Roman" w:hAnsi="Times New Roman"/>
          <w:sz w:val="20"/>
        </w:rPr>
      </w:pPr>
      <w:r>
        <w:rPr>
          <w:rFonts w:ascii="Times New Roman" w:hAnsi="Times New Roman"/>
          <w:b/>
          <w:i/>
          <w:color w:val="000000"/>
          <w:sz w:val="20"/>
        </w:rPr>
        <w:t>Purchases of treasury stock</w:t>
      </w:r>
      <w:r>
        <w:rPr>
          <w:rFonts w:ascii="Times New Roman" w:hAnsi="Times New Roman"/>
          <w:color w:val="000000"/>
          <w:sz w:val="20"/>
        </w:rPr>
        <w:t xml:space="preserve"> for 2025 include the repurchase of 6.4 million shares of common stock for a total of $230.6 million (excluding cost of 1% excise tax) as part of our previously announced stock repurchase program.</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0" w:after="180"/>
        <w:jc w:val="left"/>
        <w:rPr/>
      </w:pPr>
      <w:r>
        <w:rPr>
          <w:rFonts w:ascii="Times New Roman" w:hAnsi="Times New Roman"/>
          <w:color w:val="000000"/>
          <w:sz w:val="20"/>
        </w:rPr>
        <w:t xml:space="preserve">Our main sources of liquidity are cash on hand, internally generated cash flow from operations, our bank credit facility and capital market transactions. At December 31, 2025, we had approximately $1.7 billion of liquidity consisting of cash on hand and availability under our bank credit facility. On January 15, 2026 we fully redeemed the $600 million principal balance of our 8.25% senior notes due 2029 by utilizing borrowings on our credit facility, reducing liquidity to approximately $1.1 billion as of January 31, 2026. See </w:t>
      </w:r>
      <w:hyperlink w:anchor="note_6">
        <w:r>
          <w:rPr>
            <w:rStyle w:val="InternetLink"/>
            <w:rFonts w:ascii="Times New Roman" w:hAnsi="Times New Roman"/>
            <w:color w:val="0000FF"/>
            <w:sz w:val="20"/>
            <w:u w:val="single"/>
          </w:rPr>
          <w:t>Note 6</w:t>
        </w:r>
      </w:hyperlink>
      <w:r>
        <w:rPr>
          <w:rFonts w:ascii="Times New Roman" w:hAnsi="Times New Roman"/>
          <w:color w:val="000000"/>
          <w:sz w:val="20"/>
        </w:rPr>
        <w:t xml:space="preserve"> to our consolidated financial statements for more information.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Our liquidity requirements are supported by our cash on hand and our bank credit facility. We may draw on our bank credit facility to meet short-term cash requirements or issue debt or equity securities through the shelf registration discussed below as part of our longer-term liquidity and capital management. We believe our short-term and long-term liquidity is adequate to fund our current operations and our near-term and long-term funding requirements including our capital spending programs, repayment of debt maturities and dividends. Although we expect cash flows to be sufficient to fund our expected 2026 capital program and operations, we may elect to use the bank credit facility or raise funds through new debt or equity offerings or from other sources of financing.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Bank Credit Facility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bank credit facility is secured by substantially all of our assets. In October 2025, we entered into an amended and restated bank credit facility with a maturity date of October 2, 2030. As of December 31, 2025, we had a balance of $118.0 million on our bank credit facility, and we maintained a borrowing base of $3.0 billion and aggregate lender commitments of $2.0 billion. We also have undrawn letters of credit of $165.2 million as of December 31, 2025 which reduce the borrowing capacity under our bank credit facility.</w:t>
      </w:r>
    </w:p>
    <w:p>
      <w:pPr>
        <w:pStyle w:val="TextBody"/>
        <w:bidi w:val="0"/>
        <w:spacing w:before="0" w:after="180"/>
        <w:jc w:val="left"/>
        <w:rPr/>
      </w:pPr>
      <w:r>
        <w:rPr>
          <w:rFonts w:ascii="Times New Roman" w:hAnsi="Times New Roman"/>
          <w:color w:val="000000"/>
          <w:sz w:val="20"/>
        </w:rPr>
        <w:t xml:space="preserve">The borrowing base is subject to regular, annual re-determinations and is dependent on a number of factors but primarily the lenders' assessment of our future cash flows. The next scheduled borrowing base re-determination is during the spring of 2026. We currently must comply with certain financial and non-financial covenants, including limiting dividend payments, debt incurrence and requirements that we maintain certain financial ratios (as defined in our bank credit agreement). We were in compliance with all such covenants at December 31, 2025. See </w:t>
      </w:r>
      <w:hyperlink w:anchor="note_6">
        <w:r>
          <w:rPr>
            <w:rStyle w:val="InternetLink"/>
            <w:rFonts w:ascii="Times New Roman" w:hAnsi="Times New Roman"/>
            <w:color w:val="0000FF"/>
            <w:sz w:val="20"/>
            <w:u w:val="single"/>
          </w:rPr>
          <w:t>Note 6</w:t>
        </w:r>
      </w:hyperlink>
      <w:r>
        <w:rPr>
          <w:rFonts w:ascii="Times New Roman" w:hAnsi="Times New Roman"/>
          <w:color w:val="000000"/>
          <w:sz w:val="20"/>
        </w:rPr>
        <w:t xml:space="preserve"> to our consolidated financial statements for more information.</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Capital Requirements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material cash requirements include the following contractual and other potential or expected obligations: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Capital Budget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approved capital budget for 2026 is $650 million to $700 million. The amount of our future capital investment will depend upon a number of factors including our cash flows from operations, investing and financing activities, infrastructure availability, supply and demand fundamentals and our ability to execute our development program. We periodically review our budget to assess changes in these and other factors.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Cash Dividend Payments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On November 28, 2025, our board of directors announced the approval of a dividend of $0.09 per share payable on December 26, 2025, to stockholders of record at the close of business on December 12, 2025. The determination of the amount of future dividends, if any, to be declared and paid is at the sole discretion of the board of directors and primarily depends on cash flow, capital expenditures, debt covenants and various other factors.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Stock Repurchase Program</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Our total remaining share repurchase authorization was approximately $785.5 million at December 31, 2025. </w:t>
      </w:r>
    </w:p>
    <w:p>
      <w:pPr>
        <w:pStyle w:val="TextBody"/>
        <w:bidi w:val="0"/>
        <w:jc w:val="left"/>
        <w:rPr>
          <w:rFonts w:ascii="Times New Roman" w:hAnsi="Times New Roman"/>
          <w:b/>
          <w:i/>
          <w:color w:val="000000"/>
          <w:sz w:val="20"/>
        </w:rPr>
      </w:pPr>
      <w:r>
        <w:rPr>
          <w:rFonts w:ascii="Times New Roman" w:hAnsi="Times New Roman"/>
          <w:b/>
          <w:i/>
          <w:color w:val="000000"/>
          <w:sz w:val="20"/>
        </w:rPr>
        <w:t>Interest Rates</w:t>
      </w:r>
    </w:p>
    <w:p>
      <w:pPr>
        <w:pStyle w:val="TextBody"/>
        <w:bidi w:val="0"/>
        <w:spacing w:before="180" w:after="180"/>
        <w:jc w:val="left"/>
        <w:rPr/>
      </w:pPr>
      <w:r>
        <w:rPr>
          <w:rFonts w:ascii="Times New Roman" w:hAnsi="Times New Roman"/>
          <w:color w:val="000000"/>
          <w:sz w:val="20"/>
        </w:rPr>
        <w:t xml:space="preserve">As of December 31, 2025, we had $1.2 billion of total debt outstanding, of which $1.1 billion outstanding are senior notes which bore interest at fixed rates averaging 6.7%. Our expected annual incurred interest for the senior notes is $73.2 million assuming debt balances remain the same. Bank debt totaling $118.0 million bears interest at a floating rate which was 5.6% as of December 31, 2025. Annual expected interest for the bank credit facility is $9.3 million assuming there is no change to the debt balance and interest rate from December 31, 2025. These expectations do not include the impacts from the subsequent payoff in January 2026 of the 8.25% senior notes due 2029 as described in </w:t>
      </w:r>
      <w:hyperlink w:anchor="note_6">
        <w:r>
          <w:rPr>
            <w:rStyle w:val="InternetLink"/>
            <w:rFonts w:ascii="Times New Roman" w:hAnsi="Times New Roman"/>
            <w:color w:val="0000FF"/>
            <w:sz w:val="20"/>
            <w:u w:val="single"/>
          </w:rPr>
          <w:t>Note 6</w:t>
        </w:r>
      </w:hyperlink>
      <w:r>
        <w:rPr>
          <w:rFonts w:ascii="Times New Roman" w:hAnsi="Times New Roman"/>
          <w:color w:val="000000"/>
          <w:sz w:val="20"/>
        </w:rPr>
        <w:t xml:space="preserve">.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Other Sources of Liquidity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have a universal shelf registration statement filed with the SEC under which we, as a "well-known seasoned issuer" for purposes of SEC rules, have the ability to sell an indeterminate amount of various types of debt and equity securities.</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sz w:val="20"/>
        </w:rPr>
      </w:pPr>
      <w:r>
        <w:rPr>
          <w:rFonts w:ascii="Times New Roman" w:hAnsi="Times New Roman"/>
          <w:b/>
          <w:i/>
          <w:color w:val="000000"/>
          <w:sz w:val="20"/>
        </w:rPr>
        <w:t>Cash Contractual Obligations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contractual obligations include long-term debt, operating leases, derivative obligations, asset retirement obligations and transportation, gathering and processing commitments. As of December 31, 2025, we do not have any capital leases or any significant off-balance sheet debt or other such unrecorded obligations and we have not guaranteed any debt of any unrelated party. The table below provides estimates of the timing of future payments that we are obligated to make based on agreements in place at December 31, 2025. In addition to the contractual obligations listed in the table below, our consolidated balance sheet at December 31, 2025 reflects accrued interest payable associated with our bank credit facility and senior notes of $31.9 million, which is payable in 2026.</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following summarizes our contractual financial obligations at December 31, 2025 and their future maturities. We expect to fund these contractual obligations with cash generated from operating activities and, if necessary, borrowings under our bank credit facility or other sources (in thousands):</w:t>
      </w:r>
    </w:p>
    <w:tbl>
      <w:tblPr>
        <w:tblW w:w="10205" w:type="dxa"/>
        <w:jc w:val="left"/>
        <w:tblInd w:w="0" w:type="dxa"/>
        <w:tblLayout w:type="fixed"/>
        <w:tblCellMar>
          <w:top w:w="28" w:type="dxa"/>
          <w:left w:w="28" w:type="dxa"/>
          <w:bottom w:w="28" w:type="dxa"/>
          <w:right w:w="28" w:type="dxa"/>
        </w:tblCellMar>
      </w:tblPr>
      <w:tblGrid>
        <w:gridCol w:w="2321"/>
        <w:gridCol w:w="196"/>
        <w:gridCol w:w="691"/>
        <w:gridCol w:w="146"/>
        <w:gridCol w:w="146"/>
        <w:gridCol w:w="196"/>
        <w:gridCol w:w="691"/>
        <w:gridCol w:w="166"/>
        <w:gridCol w:w="146"/>
        <w:gridCol w:w="196"/>
        <w:gridCol w:w="691"/>
        <w:gridCol w:w="146"/>
        <w:gridCol w:w="146"/>
        <w:gridCol w:w="212"/>
        <w:gridCol w:w="894"/>
        <w:gridCol w:w="146"/>
        <w:gridCol w:w="146"/>
        <w:gridCol w:w="196"/>
        <w:gridCol w:w="826"/>
        <w:gridCol w:w="146"/>
        <w:gridCol w:w="146"/>
        <w:gridCol w:w="196"/>
        <w:gridCol w:w="826"/>
        <w:gridCol w:w="593"/>
      </w:tblGrid>
      <w:tr>
        <w:trPr/>
        <w:tc>
          <w:tcPr>
            <w:tcW w:w="23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2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1"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Payment due by period</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2029 and 2030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Thereafter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Debt:</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 xml:space="preserve">Bank debt due 2030 </w:t>
            </w:r>
            <w:r>
              <w:rPr>
                <w:rFonts w:ascii="Times New Roman" w:hAnsi="Times New Roman"/>
                <w:color w:val="000000"/>
                <w:sz w:val="12"/>
              </w:rPr>
              <w:t>(a)</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118,000</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8.25% senior notes due 2029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600,000</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4.75% senior notes due 2030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500,000</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obligations:</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 xml:space="preserve">Operating leases, net </w:t>
            </w:r>
            <w:r>
              <w:rPr>
                <w:rFonts w:ascii="Times New Roman" w:hAnsi="Times New Roman"/>
                <w:color w:val="000000"/>
                <w:sz w:val="12"/>
              </w:rPr>
              <w:t>(b)</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65,735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71,702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47,588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203,717</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Software licenses and other</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10,832</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 xml:space="preserve">Derivative obligations </w:t>
            </w:r>
            <w:r>
              <w:rPr>
                <w:rFonts w:ascii="Times New Roman" w:hAnsi="Times New Roman"/>
                <w:color w:val="000000"/>
                <w:sz w:val="12"/>
              </w:rPr>
              <w:t>(c)</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3,559</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 xml:space="preserve">Transportation and gathering commitments </w:t>
            </w:r>
            <w:r>
              <w:rPr>
                <w:rFonts w:ascii="Times New Roman" w:hAnsi="Times New Roman"/>
                <w:color w:val="000000"/>
                <w:sz w:val="12"/>
              </w:rPr>
              <w:t>(d)</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833,967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823,437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805,735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1,233,456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2,161,282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5,857,877</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 xml:space="preserve">Asset retirement obligation liability </w:t>
            </w:r>
            <w:r>
              <w:rPr>
                <w:rFonts w:ascii="Times New Roman" w:hAnsi="Times New Roman"/>
                <w:color w:val="000000"/>
                <w:sz w:val="12"/>
              </w:rPr>
              <w:t>(e)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147,239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148,952</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3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18"/>
              </w:rPr>
            </w:pPr>
            <w:r>
              <w:rPr>
                <w:rFonts w:ascii="Times New Roman" w:hAnsi="Times New Roman"/>
                <w:color w:val="000000"/>
                <w:sz w:val="18"/>
              </w:rPr>
              <w:t xml:space="preserve">Total contractual obligations </w:t>
            </w:r>
            <w:r>
              <w:rPr>
                <w:rFonts w:ascii="Times New Roman" w:hAnsi="Times New Roman"/>
                <w:color w:val="000000"/>
                <w:sz w:val="12"/>
              </w:rPr>
              <w:t>(f)</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908,349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899,159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814,950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2,464,370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2,356,109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7,442,937</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Due at termination date of our bank credit facility.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(b)</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Includes amounts expected to be received as sublease income.</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(c)</w:t>
      </w:r>
    </w:p>
    <w:p>
      <w:pPr>
        <w:pStyle w:val="TextBody"/>
        <w:bidi w:val="0"/>
        <w:spacing w:before="0" w:after="0"/>
        <w:jc w:val="left"/>
        <w:rPr/>
      </w:pPr>
      <w:r>
        <w:rPr>
          <w:rFonts w:ascii="Times New Roman" w:hAnsi="Times New Roman"/>
          <w:color w:val="000000"/>
          <w:sz w:val="18"/>
        </w:rPr>
        <w:t xml:space="preserve">Derivative obligations represent net liabilities determined in accordance with master netting arrangements for commodity derivatives that were valued as of December 31, 2025. Our derivatives are measured and recorded at fair value and are subject to market and credit risk. The ultimate liquidation value will be dependent upon actual future commodity prices which may differ materially from the inputs used to determine fair value as of December 31, 2025. See </w:t>
      </w:r>
      <w:hyperlink w:anchor="note_8">
        <w:r>
          <w:rPr>
            <w:rStyle w:val="InternetLink"/>
            <w:rFonts w:ascii="Times New Roman" w:hAnsi="Times New Roman"/>
            <w:color w:val="0000FF"/>
            <w:sz w:val="18"/>
            <w:u w:val="single"/>
          </w:rPr>
          <w:t>Note 8</w:t>
        </w:r>
      </w:hyperlink>
      <w:hyperlink w:anchor="note_8">
        <w:r>
          <w:rPr>
            <w:rStyle w:val="InternetLink"/>
            <w:color w:val="0000FF"/>
          </w:rPr>
          <w:t xml:space="preserve"> </w:t>
        </w:r>
      </w:hyperlink>
      <w:r>
        <w:rPr>
          <w:rFonts w:ascii="Times New Roman" w:hAnsi="Times New Roman"/>
          <w:color w:val="000000"/>
          <w:sz w:val="18"/>
        </w:rPr>
        <w:t>to our consolidated financial statements.</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(d)</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The obligations above represent our minimum financial commitments pursuant to the terms of these contracts. Our actual expenditures may exceed these minimum commitments.</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(e)</w:t>
      </w:r>
    </w:p>
    <w:p>
      <w:pPr>
        <w:pStyle w:val="TextBody"/>
        <w:bidi w:val="0"/>
        <w:spacing w:before="0" w:after="0"/>
        <w:jc w:val="left"/>
        <w:rPr/>
      </w:pPr>
      <w:r>
        <w:rPr>
          <w:rFonts w:ascii="Times New Roman" w:hAnsi="Times New Roman"/>
          <w:color w:val="000000"/>
          <w:sz w:val="18"/>
        </w:rPr>
        <w:t xml:space="preserve">The amount above represents the discounted values. There are inherent uncertainties surrounding the obligations and the actual amount and timing may differ from our estimates. See </w:t>
      </w:r>
      <w:hyperlink w:anchor="note_7">
        <w:r>
          <w:rPr>
            <w:rStyle w:val="InternetLink"/>
            <w:rFonts w:ascii="Times New Roman" w:hAnsi="Times New Roman"/>
            <w:color w:val="0000FF"/>
            <w:sz w:val="18"/>
            <w:u w:val="single"/>
          </w:rPr>
          <w:t>Note 7</w:t>
        </w:r>
      </w:hyperlink>
      <w:r>
        <w:rPr>
          <w:color w:val="000000"/>
        </w:rPr>
        <w:t xml:space="preserve"> </w:t>
      </w:r>
      <w:r>
        <w:rPr>
          <w:rFonts w:ascii="Times New Roman" w:hAnsi="Times New Roman"/>
          <w:color w:val="000000"/>
          <w:sz w:val="18"/>
        </w:rPr>
        <w:t>to our consolidated financial statements.</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(f)</w:t>
      </w:r>
    </w:p>
    <w:p>
      <w:pPr>
        <w:pStyle w:val="TextBody"/>
        <w:bidi w:val="0"/>
        <w:jc w:val="left"/>
        <w:rPr>
          <w:rFonts w:ascii="Times New Roman" w:hAnsi="Times New Roman"/>
          <w:color w:val="000000"/>
          <w:sz w:val="18"/>
        </w:rPr>
      </w:pPr>
      <w:r>
        <w:rPr>
          <w:rFonts w:ascii="Times New Roman" w:hAnsi="Times New Roman"/>
          <w:color w:val="000000"/>
          <w:sz w:val="18"/>
        </w:rPr>
        <w:t>This table excludes the liability for the deferred compensation plans since these obligations will be funded with existing plan assets and does not include obligations to taxing authorities.</w:t>
      </w:r>
    </w:p>
    <w:p>
      <w:pPr>
        <w:pStyle w:val="TextBody"/>
        <w:bidi w:val="0"/>
        <w:spacing w:before="360" w:after="120"/>
        <w:jc w:val="left"/>
        <w:rPr/>
      </w:pPr>
      <w:r>
        <w:rPr>
          <w:rFonts w:ascii="Times New Roman" w:hAnsi="Times New Roman"/>
          <w:color w:val="000000"/>
          <w:sz w:val="20"/>
        </w:rPr>
        <w:t xml:space="preserve">Not included in the above table are agreements that are contingent on future construction. See </w:t>
      </w:r>
      <w:hyperlink w:anchor="note_13">
        <w:r>
          <w:rPr>
            <w:rStyle w:val="InternetLink"/>
            <w:rFonts w:ascii="Times New Roman" w:hAnsi="Times New Roman"/>
            <w:color w:val="0000FF"/>
            <w:sz w:val="20"/>
            <w:u w:val="single"/>
          </w:rPr>
          <w:t>Note 13</w:t>
        </w:r>
      </w:hyperlink>
      <w:r>
        <w:rPr>
          <w:rFonts w:ascii="Times New Roman" w:hAnsi="Times New Roman"/>
          <w:color w:val="000000"/>
          <w:sz w:val="20"/>
        </w:rPr>
        <w:t xml:space="preserve"> to our consolidated financial statements for more information regarding these contracts. Also not included in the table above is our estimate of accrued contractual obligations related to certain obligations retained by us after our divestiture of our North Louisiana assets. See additional information for these obligations in </w:t>
      </w:r>
      <w:hyperlink w:anchor="note_14">
        <w:r>
          <w:rPr>
            <w:rStyle w:val="InternetLink"/>
            <w:rFonts w:ascii="Times New Roman" w:hAnsi="Times New Roman"/>
            <w:color w:val="0000FF"/>
            <w:sz w:val="20"/>
            <w:u w:val="single"/>
          </w:rPr>
          <w:t>Note 14</w:t>
        </w:r>
      </w:hyperlink>
      <w:r>
        <w:rPr>
          <w:rFonts w:ascii="Times New Roman" w:hAnsi="Times New Roman"/>
          <w:color w:val="000000"/>
          <w:sz w:val="20"/>
        </w:rPr>
        <w:t xml:space="preserve"> to our consolidated financial statements. </w:t>
      </w:r>
    </w:p>
    <w:p>
      <w:pPr>
        <w:pStyle w:val="TextBody"/>
        <w:bidi w:val="0"/>
        <w:spacing w:before="60" w:after="180"/>
        <w:jc w:val="left"/>
        <w:rPr>
          <w:rFonts w:ascii="Times New Roman" w:hAnsi="Times New Roman"/>
          <w:sz w:val="20"/>
        </w:rPr>
      </w:pPr>
      <w:r>
        <w:rPr>
          <w:rFonts w:ascii="Times New Roman" w:hAnsi="Times New Roman"/>
          <w:b/>
          <w:i/>
          <w:color w:val="000000"/>
          <w:sz w:val="20"/>
        </w:rPr>
        <w:t>Delivery Commitments</w:t>
      </w:r>
      <w:r>
        <w:rPr>
          <w:rFonts w:ascii="Times New Roman" w:hAnsi="Times New Roman"/>
          <w:color w:val="000000"/>
          <w:sz w:val="20"/>
        </w:rPr>
        <w:t xml:space="preserve"> </w:t>
      </w:r>
    </w:p>
    <w:p>
      <w:pPr>
        <w:pStyle w:val="TextBody"/>
        <w:bidi w:val="0"/>
        <w:jc w:val="left"/>
        <w:rPr/>
      </w:pPr>
      <w:r>
        <w:rPr>
          <w:rFonts w:ascii="Times New Roman" w:hAnsi="Times New Roman"/>
          <w:color w:val="000000"/>
          <w:sz w:val="20"/>
        </w:rPr>
        <w:t xml:space="preserve">We have various volume delivery commitments that we expect to be able to fulfill from our own production; however, we may purchase third-party volumes to satisfy our commitments or pay demand fees for commitment shortfalls, should they occur. As of December 31, 2025, our delivery commitments through 2037 are included in </w:t>
      </w:r>
      <w:hyperlink w:anchor="note_13">
        <w:r>
          <w:rPr>
            <w:rStyle w:val="InternetLink"/>
            <w:rFonts w:ascii="Times New Roman" w:hAnsi="Times New Roman"/>
            <w:color w:val="0000FF"/>
            <w:sz w:val="20"/>
            <w:u w:val="single"/>
          </w:rPr>
          <w:t>Note 13</w:t>
        </w:r>
      </w:hyperlink>
      <w:r>
        <w:rPr>
          <w:rFonts w:ascii="Times New Roman" w:hAnsi="Times New Roman"/>
          <w:color w:val="000000"/>
          <w:sz w:val="20"/>
        </w:rPr>
        <w:t xml:space="preserve"> to our consolidated financial statements.</w:t>
      </w:r>
    </w:p>
    <w:p>
      <w:pPr>
        <w:pStyle w:val="TextBody"/>
        <w:bidi w:val="0"/>
        <w:spacing w:before="180" w:after="180"/>
        <w:jc w:val="left"/>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We are subject to income-based and non-income-based taxes under federal, state and local jurisdictions in which we operate. Historically, we have generated and carried forward net operating losses ("NOL") in amounts sufficient to offset the majority of our taxable income at the federal level. To the extent we utilize all or substantially all of our federal NOL carryovers, we expect to make federal income tax payments. In addition, the Inflation Reduction Act of 2022 could trigger minimum income taxes if we become subject to the corporate alternative minimum tax where we may have to make estimated federal income tax payments. We currently pay federal income taxes and state income taxes in the Commonwealth of Pennsylvania. See </w:t>
      </w:r>
      <w:r>
        <w:rPr>
          <w:rFonts w:ascii="Times New Roman" w:hAnsi="Times New Roman"/>
          <w:color w:val="0000FF"/>
          <w:sz w:val="20"/>
          <w:u w:val="single"/>
        </w:rPr>
        <w:t>Note 4</w:t>
      </w:r>
      <w:r>
        <w:rPr>
          <w:rFonts w:ascii="Times New Roman" w:hAnsi="Times New Roman"/>
          <w:color w:val="000000"/>
          <w:sz w:val="20"/>
        </w:rPr>
        <w:t xml:space="preserve"> to our consolidated financial statements for more information.</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sz w:val="20"/>
        </w:rPr>
      </w:pPr>
      <w:r>
        <w:rPr>
          <w:rFonts w:ascii="Times New Roman" w:hAnsi="Times New Roman"/>
          <w:b/>
          <w:i/>
          <w:color w:val="000000"/>
          <w:sz w:val="20"/>
        </w:rPr>
        <w:t>Proved Reserves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To maintain and grow production and cash flow, we must continue to develop existing proved reserves and locate or acquire new natural gas, NGLs and oil reserves. The following is a discussion of proved reserves, reserve additions and revisions and future net cash flows from proved reserves. </w:t>
      </w:r>
    </w:p>
    <w:tbl>
      <w:tblPr>
        <w:tblW w:w="6808" w:type="dxa"/>
        <w:jc w:val="left"/>
        <w:tblInd w:w="0" w:type="dxa"/>
        <w:tblLayout w:type="fixed"/>
        <w:tblCellMar>
          <w:top w:w="28" w:type="dxa"/>
          <w:left w:w="28" w:type="dxa"/>
          <w:bottom w:w="28" w:type="dxa"/>
          <w:right w:w="28" w:type="dxa"/>
        </w:tblCellMar>
      </w:tblPr>
      <w:tblGrid>
        <w:gridCol w:w="3761"/>
        <w:gridCol w:w="146"/>
        <w:gridCol w:w="916"/>
        <w:gridCol w:w="166"/>
        <w:gridCol w:w="146"/>
        <w:gridCol w:w="146"/>
        <w:gridCol w:w="916"/>
        <w:gridCol w:w="611"/>
      </w:tblGrid>
      <w:tr>
        <w:trPr/>
        <w:tc>
          <w:tcPr>
            <w:tcW w:w="3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6" w:type="dxa"/>
            <w:gridSpan w:val="6"/>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(Mmcfe)</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Proved Reserves:</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Beginning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18,131,475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18,113,125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7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Reserve revisions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264,073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75,765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7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Reserve extensions, discoveries and additions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562,372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749,362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7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(10,542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37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Production</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(816,058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(796,235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7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End of year</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18,141,862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18,131,475</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Proved Developed Reserves:</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Beginning of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11,930,793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11,535,852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End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12,801,132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11,930,793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180"/>
        <w:jc w:val="left"/>
        <w:rPr/>
      </w:pPr>
      <w:r>
        <w:rPr>
          <w:rFonts w:ascii="Times New Roman" w:hAnsi="Times New Roman"/>
          <w:i/>
          <w:color w:val="000000"/>
          <w:sz w:val="20"/>
        </w:rPr>
        <w:t>Reserve Revisions and Additions.</w:t>
      </w:r>
      <w:r>
        <w:rPr>
          <w:rFonts w:ascii="Times New Roman" w:hAnsi="Times New Roman"/>
          <w:color w:val="000000"/>
          <w:sz w:val="20"/>
        </w:rPr>
        <w:t xml:space="preserve"> See additional information and a summary of these revisions and additions in </w:t>
      </w:r>
      <w:hyperlink w:anchor="note_16">
        <w:r>
          <w:rPr>
            <w:rStyle w:val="InternetLink"/>
            <w:rFonts w:ascii="Times New Roman" w:hAnsi="Times New Roman"/>
            <w:color w:val="0000FF"/>
            <w:sz w:val="20"/>
            <w:u w:val="single"/>
          </w:rPr>
          <w:t>Note 16</w:t>
        </w:r>
      </w:hyperlink>
      <w:r>
        <w:rPr>
          <w:rFonts w:ascii="Times New Roman" w:hAnsi="Times New Roman"/>
          <w:color w:val="000000"/>
          <w:sz w:val="20"/>
        </w:rPr>
        <w:t xml:space="preserve"> to our consolidated financial statements. </w:t>
      </w:r>
    </w:p>
    <w:p>
      <w:pPr>
        <w:pStyle w:val="TextBody"/>
        <w:bidi w:val="0"/>
        <w:spacing w:before="0" w:after="180"/>
        <w:jc w:val="left"/>
        <w:rPr>
          <w:rFonts w:ascii="Times New Roman" w:hAnsi="Times New Roman"/>
          <w:sz w:val="20"/>
        </w:rPr>
      </w:pPr>
      <w:r>
        <w:rPr>
          <w:rFonts w:ascii="Times New Roman" w:hAnsi="Times New Roman"/>
          <w:i/>
          <w:color w:val="000000"/>
          <w:sz w:val="20"/>
        </w:rPr>
        <w:t>Future Net Cash Flows.</w:t>
      </w:r>
      <w:r>
        <w:rPr>
          <w:rFonts w:ascii="Times New Roman" w:hAnsi="Times New Roman"/>
          <w:color w:val="000000"/>
          <w:sz w:val="20"/>
        </w:rPr>
        <w:t xml:space="preserve"> At December 31, 2025, the present value (discounted at 10%) of estimated future net cash flows from our proved reserves was $11.6 billion. The present value of our estimated future net cash flows at December 31, 2024 was $5.5 billion. This present value was calculated based on the unweighted average first-day-of-the-month oil and gas prices for the prior twelve months held flat for the life of the reserves, in accordance with SEC rules. At December 31, 2025, the after-tax present value of estimated future net cash flows from our proved reserves was $9.6 billion compared to $4.7 billion at December 31, 2024.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present value of future net cash flows does not purport to be an estimate of the fair market value of our proved reserves. An estimate of fair value would also take into account, among other things, anticipated changes in future prices and costs, the expected recovery of reserves in excess of proved reserves and a discount factor more representative of the time value of money to the evaluating party and the perceived risks inherent in producing natural gas, NGLs and oil. </w:t>
      </w:r>
    </w:p>
    <w:p>
      <w:pPr>
        <w:pStyle w:val="TextBody"/>
        <w:bidi w:val="0"/>
        <w:spacing w:before="0" w:after="180"/>
        <w:jc w:val="left"/>
        <w:rPr>
          <w:rFonts w:ascii="Times New Roman" w:hAnsi="Times New Roman"/>
          <w:sz w:val="20"/>
        </w:rPr>
      </w:pPr>
      <w:r>
        <w:rPr>
          <w:rFonts w:ascii="Times New Roman" w:hAnsi="Times New Roman"/>
          <w:b/>
          <w:i/>
          <w:color w:val="000000"/>
          <w:sz w:val="20"/>
        </w:rPr>
        <w:t>Other</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We lease acreage that is generally subject to expiration if initial wells are not drilled within a specified period, generally between three and five years. We do not expect to lose significant lease acreage because of failure to drill due to inadequate capital, equipment or personnel. However, based on our evaluation of prospective economics, including the cost of infrastructure to connect production, we have allowed acreage to expire and will allow additional acreage to expire in the future. We also regularly provide letters of credit in the normal course of business under certain contracts that may be drawn if we fail to perform under those contracts. </w:t>
      </w:r>
    </w:p>
    <w:p>
      <w:pPr>
        <w:pStyle w:val="TextBody"/>
        <w:bidi w:val="0"/>
        <w:spacing w:before="0" w:after="180"/>
        <w:jc w:val="left"/>
        <w:rPr>
          <w:rFonts w:ascii="Times New Roman" w:hAnsi="Times New Roman"/>
          <w:sz w:val="20"/>
        </w:rPr>
      </w:pPr>
      <w:r>
        <w:rPr>
          <w:rFonts w:ascii="Times New Roman" w:hAnsi="Times New Roman"/>
          <w:b/>
          <w:i/>
          <w:color w:val="000000"/>
          <w:sz w:val="20"/>
        </w:rPr>
        <w:t>Off-Balance Sheet Arrangements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We do not currently utilize any off-balance sheet arrangements with unconsolidated entities to enhance our liquidity or capital resources position. However, as is customary in the natural gas, NGLs and oil industry, we have various contractual work commitments which are described above under cash contractual obligations. </w:t>
      </w:r>
    </w:p>
    <w:p>
      <w:pPr>
        <w:pStyle w:val="TextBody"/>
        <w:bidi w:val="0"/>
        <w:spacing w:before="0" w:after="180"/>
        <w:jc w:val="left"/>
        <w:rPr>
          <w:rFonts w:ascii="Times New Roman" w:hAnsi="Times New Roman"/>
          <w:sz w:val="20"/>
        </w:rPr>
      </w:pPr>
      <w:bookmarkStart w:id="40" w:name="mda_accounting"/>
      <w:bookmarkEnd w:id="40"/>
      <w:r>
        <w:rPr>
          <w:rFonts w:ascii="Times New Roman" w:hAnsi="Times New Roman"/>
          <w:b/>
          <w:color w:val="000000"/>
          <w:sz w:val="20"/>
        </w:rPr>
        <w:t>Management’s</w:t>
      </w:r>
      <w:r>
        <w:rPr>
          <w:rFonts w:ascii="Times New Roman" w:hAnsi="Times New Roman"/>
          <w:color w:val="000000"/>
          <w:sz w:val="20"/>
        </w:rPr>
        <w:t xml:space="preserve"> </w:t>
      </w:r>
      <w:r>
        <w:rPr>
          <w:rFonts w:ascii="Times New Roman" w:hAnsi="Times New Roman"/>
          <w:b/>
          <w:color w:val="000000"/>
          <w:sz w:val="20"/>
        </w:rPr>
        <w:t>Discussion of Critical Accounting Estimates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discussion and analysis of our financial condition and results of operations are based upon our consolidated financial statements, which have been prepared in accordance with accounting principles generally accepted in the United States. The preparation of our financial statements requires us to make estimates and assumptions that affect the reported amounts of assets and liabilities, the disclosure of contingent assets and liabilities at year-end and the reported amounts of revenues and expenses during the year. Accounting estimates are considered to be critical if (1) the nature of the estimates and assumptions is material due to the levels of subjectivity and judgment necessary to account for highly uncertain matters or the susceptibility of such matters to changes; and (2) the impact of the estimates and assumptions on financial condition or operating performance is material. Actual results could differ from the estimates and assumptions used.</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sz w:val="20"/>
        </w:rPr>
      </w:pPr>
      <w:r>
        <w:rPr>
          <w:rFonts w:ascii="Times New Roman" w:hAnsi="Times New Roman"/>
          <w:b/>
          <w:i/>
          <w:color w:val="000000"/>
          <w:sz w:val="20"/>
        </w:rPr>
        <w:t>Estimated Quantities of Net Reserves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use the successful efforts method of accounting for natural gas, NGLs and oil producing activities as opposed to the alternate acceptable full cost method. We believe that net assets and net income are more conservatively measured under the successful efforts method of accounting than under the full cost method, particularly during periods of active exploration. One difference between the successful efforts method of accounting and the full cost method is that under the successful efforts method, all exploratory dry holes and geological and geophysical costs are charged against earnings during the periods they occur; whereas, under the full cost method of accounting, such costs are capitalized as assets, pooled with the costs of successful wells and charged against earnings of future periods as a component of depletion expense. Under the successful efforts method of accounting, successful exploration drilling costs and all development costs are capitalized and these costs are systematically charged to expense using the units of production method based on proved developed natural gas, NGLs and oil reserves as estimated by our engineers and audited by independent engineers. Costs incurred for exploratory wells that find reserves that cannot yet be classified as proved are capitalized on our balance sheet if (1) the well has found a sufficient quantity of reserves to justify its completion as a producing well and (2) we are making sufficient progress assessing the reserves and the economic and operating viability of the project. Proven property leasehold costs are amortized to expense using the units of production method based on total proved reserves. Properties are assessed for impairment as circumstances warrant (at least annually) and impairments to value are charged to expense. The successful efforts method inherently relies upon the estimation of proved reserves, which includes proved developed and proved undeveloped volumes. </w:t>
      </w:r>
    </w:p>
    <w:p>
      <w:pPr>
        <w:pStyle w:val="TextBody"/>
        <w:bidi w:val="0"/>
        <w:spacing w:before="60" w:after="180"/>
        <w:jc w:val="left"/>
        <w:rPr/>
      </w:pPr>
      <w:r>
        <w:rPr>
          <w:rFonts w:ascii="Times New Roman" w:hAnsi="Times New Roman"/>
          <w:color w:val="000000"/>
          <w:sz w:val="20"/>
        </w:rPr>
        <w:t xml:space="preserve">Proved reserves are defined by the SEC as those volumes of natural gas, NGLs and oil that geological and engineering data demonstrate with reasonable certainty are recoverable in future years from known reservoirs under existing economic and operating conditions. Proved developed reserves are volumes expected to be recovered through existing wells with existing equipment and operating methods. Proved undeveloped reserves include reserves for which a development plan has been adopted indicating each location is scheduled to be drilled within five years from the date it was booked as proved reserves, unless specific circumstances justify a longer time. Although our engineers are knowledgeable of and follow the guidelines for reserves established by the SEC, the estimation of reserves requires engineers to make a significant number of assumptions based on professional judgment. Reserve estimates are updated at least annually and consider recent production levels and other technical information. Estimated reserves are often subject to future revisions, which could be substantial, based on the availability of additional information, including reservoir performance, new geological and geophysical data, additional drilling, technological advancements, price and cost changes and other economic factors. Changes in natural gas, NGLs and oil prices can lead to a decision to start up or shut in production, which can lead to revisions to reserve quantities. Reserve revisions in turn cause adjustments in our depletion rates. We cannot predict what reserve revisions may be required in future periods. Reserve estimates are reviewed and approved by our Senior Vice President of Reservoir Engineering and Economics, who reports directly to our President and Chief Executive Officer. To further ensure the reliability of our reserve estimates, we engage independent petroleum consultants to audit our estimates of proved reserves. Estimates prepared by third parties may be higher or lower than those included herein. Independent petroleum consultants audited approximately 96% of our reserves in 2025 and 2024. Historical variances between our reserve estimates and the aggregate estimates of our consultants have been approximately 6% or less. The reserves included in this report are those reserves estimated by our petroleum engineering staff. For additional discussion, see Items 1 &amp; 2. Business and Properties – </w:t>
      </w:r>
      <w:r>
        <w:rPr>
          <w:rFonts w:ascii="Times New Roman" w:hAnsi="Times New Roman"/>
          <w:i/>
          <w:color w:val="000000"/>
          <w:sz w:val="20"/>
        </w:rPr>
        <w:t xml:space="preserve">Proved Reserves </w:t>
      </w:r>
      <w:r>
        <w:rPr>
          <w:rFonts w:ascii="Times New Roman" w:hAnsi="Times New Roman"/>
          <w:color w:val="000000"/>
          <w:sz w:val="20"/>
        </w:rPr>
        <w:t xml:space="preserve">and </w:t>
      </w:r>
      <w:hyperlink w:anchor="note_16">
        <w:r>
          <w:rPr>
            <w:rStyle w:val="InternetLink"/>
            <w:rFonts w:ascii="Times New Roman" w:hAnsi="Times New Roman"/>
            <w:color w:val="0000FF"/>
            <w:sz w:val="20"/>
            <w:u w:val="single"/>
          </w:rPr>
          <w:t>Note 16</w:t>
        </w:r>
      </w:hyperlink>
      <w:r>
        <w:rPr>
          <w:rFonts w:ascii="Times New Roman" w:hAnsi="Times New Roman"/>
          <w:color w:val="000000"/>
          <w:sz w:val="20"/>
        </w:rPr>
        <w:t xml:space="preserve"> to our consolidated financial statements.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Reserves are based on the weighted average of commodity prices during the 12-month period, using the closing prices on the first day of each month, as defined by the SEC. When determining the December 31, 2025 proved reserves for each property, benchmark prices are adjusted using price differentials that account for property-specific quality and location differences. If prices in the future average below prices used to determine reserves at December 31, 2025, it could have an adverse effect on our estimates of proved reserves. It is difficult to estimate the magnitude of any potential price change and the effect on proved reserves due to numerous factors (including commodity prices and performance revisions).</w:t>
      </w:r>
    </w:p>
    <w:p>
      <w:pPr>
        <w:pStyle w:val="TextBody"/>
        <w:bidi w:val="0"/>
        <w:jc w:val="left"/>
        <w:rPr/>
      </w:pPr>
      <w:r>
        <w:rPr>
          <w:rFonts w:ascii="Times New Roman" w:hAnsi="Times New Roman"/>
          <w:color w:val="000000"/>
          <w:sz w:val="20"/>
        </w:rPr>
        <w:t xml:space="preserve">Depletion rates are determined based on reserve quantity estimates and the capitalized costs of producing properties. As the estimated reserves are adjusted, the depletion expense for a property will change, assuming no change in production volumes or the capitalized costs. While total depletion expense for the life of a property is limited to the property’s total cost, proved reserve revisions result in a change in the timing of when depletion expense is recognized. Downward revisions of proved reserves may result in an acceleration of depletion expense, while upward revisions tend to lower the rate of depletion expense recognition. Based on proved reserves at December 31, 2025, we estimate that a 1% change in proved reserves would increase or decrease 2026 depletion expense by approximately $3.5 million (based on current production estimates). We currently expect our DD&amp;A rate to be approximately $0.43 per mcfe in 2026. Estimated reserves are used as the basis for calculating the expected future cash flows from property asset groups, which are used to determine whether that property may be impaired. Reserves are also used to estimate the supplemental disclosure of the standardized measure of discounted future net cash flows relating to natural gas and oil producing activities and reserve quantities in </w:t>
      </w:r>
      <w:hyperlink w:anchor="note_16">
        <w:r>
          <w:rPr>
            <w:rStyle w:val="InternetLink"/>
            <w:rFonts w:ascii="Times New Roman" w:hAnsi="Times New Roman"/>
            <w:color w:val="0000FF"/>
            <w:sz w:val="20"/>
            <w:u w:val="single"/>
          </w:rPr>
          <w:t>Note 16</w:t>
        </w:r>
      </w:hyperlink>
      <w:r>
        <w:rPr>
          <w:rFonts w:ascii="Times New Roman" w:hAnsi="Times New Roman"/>
          <w:color w:val="000000"/>
          <w:sz w:val="20"/>
        </w:rPr>
        <w:t xml:space="preserve"> to our consolidated financial statements. Changes in the estimated reserves are considered a change in estimate for accounting purposes and are reflected on a prospective basis. It should not be assumed that the standardized measure is the current market value of our estimated proved reserves.</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b/>
          <w:i/>
          <w:color w:val="000000"/>
          <w:sz w:val="20"/>
        </w:rPr>
      </w:pPr>
      <w:r>
        <w:rPr>
          <w:rFonts w:ascii="Times New Roman" w:hAnsi="Times New Roman"/>
          <w:b/>
          <w:i/>
          <w:color w:val="000000"/>
          <w:sz w:val="20"/>
        </w:rPr>
        <w:t>Accounting Standards Not Yet Adopted</w:t>
      </w:r>
    </w:p>
    <w:p>
      <w:pPr>
        <w:pStyle w:val="TextBody"/>
        <w:bidi w:val="0"/>
        <w:spacing w:before="0" w:after="180"/>
        <w:jc w:val="left"/>
        <w:rPr/>
      </w:pPr>
      <w:r>
        <w:rPr>
          <w:rFonts w:ascii="Times New Roman" w:hAnsi="Times New Roman"/>
          <w:color w:val="000000"/>
          <w:sz w:val="20"/>
        </w:rPr>
        <w:t xml:space="preserve">Refer to </w:t>
      </w:r>
      <w:hyperlink w:anchor="note_2">
        <w:r>
          <w:rPr>
            <w:rStyle w:val="InternetLink"/>
            <w:rFonts w:ascii="Times New Roman" w:hAnsi="Times New Roman"/>
            <w:color w:val="0000FF"/>
            <w:sz w:val="20"/>
            <w:u w:val="single"/>
          </w:rPr>
          <w:t>Note 2</w:t>
        </w:r>
      </w:hyperlink>
      <w:r>
        <w:rPr>
          <w:rFonts w:ascii="Times New Roman" w:hAnsi="Times New Roman"/>
          <w:color w:val="000000"/>
          <w:sz w:val="20"/>
        </w:rPr>
        <w:t xml:space="preserve"> to our consolidated financial statements for a discussion of new accounting pronouncements that may affect us in the future. </w:t>
      </w:r>
    </w:p>
    <w:p>
      <w:pPr>
        <w:pStyle w:val="TextBody"/>
        <w:bidi w:val="0"/>
        <w:spacing w:before="0" w:after="180"/>
        <w:jc w:val="left"/>
        <w:rPr>
          <w:rFonts w:ascii="Times New Roman" w:hAnsi="Times New Roman"/>
          <w:sz w:val="20"/>
        </w:rPr>
      </w:pPr>
      <w:bookmarkStart w:id="41" w:name="quantitative_and_qualitative"/>
      <w:bookmarkEnd w:id="41"/>
      <w:r>
        <w:rPr>
          <w:rFonts w:ascii="Times New Roman" w:hAnsi="Times New Roman"/>
          <w:b/>
          <w:color w:val="000000"/>
          <w:sz w:val="20"/>
        </w:rPr>
        <w:t>ITEM 7A. QUANTITATIVE AND QUALITATIVE DISCLOSURES ABOUT MARKET RISK</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primary objective of the following information is to provide forward-looking quantitative and qualitative information about our potential exposure to market risks. The term "market risk" refers to the risk of loss arising from adverse changes in natural gas, NGLs and oil prices and interest rates. The disclosures are not meant to be precise indicators of expected future losses, but rather indicators of reasonably possible losses. This forward-looking information provides indicators of how we view and manage our ongoing market-risk exposure. All of our market-risk sensitive instruments were entered into for purposes other than trading. All accounts are U.S. dollar denominated. None of the risks discussed below changed materially from December 31, 2024 to December 31, 2025. </w:t>
      </w:r>
    </w:p>
    <w:p>
      <w:pPr>
        <w:pStyle w:val="TextBody"/>
        <w:bidi w:val="0"/>
        <w:spacing w:before="0" w:after="180"/>
        <w:jc w:val="left"/>
        <w:rPr>
          <w:rFonts w:ascii="Times New Roman" w:hAnsi="Times New Roman"/>
          <w:sz w:val="20"/>
        </w:rPr>
      </w:pPr>
      <w:bookmarkStart w:id="42" w:name="commodity_price"/>
      <w:bookmarkEnd w:id="42"/>
      <w:r>
        <w:rPr>
          <w:rFonts w:ascii="Times New Roman" w:hAnsi="Times New Roman"/>
          <w:b/>
          <w:color w:val="000000"/>
          <w:sz w:val="20"/>
        </w:rPr>
        <w:t>Commodity</w:t>
      </w:r>
      <w:r>
        <w:rPr>
          <w:rFonts w:ascii="Times New Roman" w:hAnsi="Times New Roman"/>
          <w:color w:val="000000"/>
          <w:sz w:val="20"/>
        </w:rPr>
        <w:t xml:space="preserve"> </w:t>
      </w:r>
      <w:r>
        <w:rPr>
          <w:rFonts w:ascii="Times New Roman" w:hAnsi="Times New Roman"/>
          <w:b/>
          <w:color w:val="000000"/>
          <w:sz w:val="20"/>
        </w:rPr>
        <w:t>Price Risk</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are exposed to market risks related to the volatility of natural gas, NGLs and oil prices as the volatility of these prices continues to impact our industry. We expect commodity prices to remain volatile and unpredictable in the future. We employ various strategies, including diverse sales locations and the use of commodity derivative instruments, to manage the risks related to these price fluctuations. Realized prices are primarily driven by worldwide prices for oil and spot market prices for North American natural gas production. Natural gas prices affect us more than oil prices because approximately 65% of our December 31, 2025 proved reserves were natural gas compared to 1% of proved reserves were oil. In addition, a portion of our NGLs, which are 34% of our year-end proved reserves, are also impacted by changes in oil prices.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believe NGLs prices are somewhat seasonal, particularly for propane. Therefore, the relationship of NGLs prices to NYMEX WTI (or West Texas Intermediate) will vary due to product components, seasonality and geographic supply and demand. We sell NGLs in several regional and international markets. If we are not able to sell or store NGLs, we may be required to curtail production or shift our drilling activities to dry gas areas.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Appalachian region has finite local demand and infrastructure to accommodate ethane. We have agreements wherein we have contracted to either sell or transport ethane from our Marcellus Shale area. We cannot ensure that these facilities will remain available. If we are not able to sell ethane under at least one of our agreements, we may be required to curtail production or, as we have done in the past, purchase or divert natural gas to blend with our rich residue gas.</w:t>
      </w:r>
    </w:p>
    <w:p>
      <w:pPr>
        <w:pStyle w:val="TextBody"/>
        <w:bidi w:val="0"/>
        <w:spacing w:before="0" w:after="180"/>
        <w:jc w:val="left"/>
        <w:rPr>
          <w:rFonts w:ascii="Times New Roman" w:hAnsi="Times New Roman"/>
          <w:sz w:val="20"/>
        </w:rPr>
      </w:pPr>
      <w:bookmarkStart w:id="43" w:name="derivative_instruments"/>
      <w:bookmarkEnd w:id="43"/>
      <w:r>
        <w:rPr>
          <w:rFonts w:ascii="Times New Roman" w:hAnsi="Times New Roman"/>
          <w:b/>
          <w:color w:val="000000"/>
          <w:sz w:val="20"/>
        </w:rPr>
        <w:t>Derivative</w:t>
      </w:r>
      <w:r>
        <w:rPr>
          <w:rFonts w:ascii="Times New Roman" w:hAnsi="Times New Roman"/>
          <w:color w:val="000000"/>
          <w:sz w:val="20"/>
        </w:rPr>
        <w:t xml:space="preserve"> </w:t>
      </w:r>
      <w:r>
        <w:rPr>
          <w:rFonts w:ascii="Times New Roman" w:hAnsi="Times New Roman"/>
          <w:b/>
          <w:color w:val="000000"/>
          <w:sz w:val="20"/>
        </w:rPr>
        <w:t>Instruments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use commodity-based derivative contracts to manage exposures to commodity price fluctuations. We do not enter into these arrangements for speculative or trading purposes. These derivative instruments apply to a varying portion of our production and provide only partial price protection. While there is risk that the financial benefit of rising natural gas, NGLs and oil prices may not be captured, we believe the benefits of more predictable cash flow are important in the event of price declines. Among these benefits are more consistent returns on invested capital, better access to bank and other capital markets, more efficient utilization of existing personnel, the flexibility to enter into long-term projects requiring substantial committed capital, smoother and more efficient execution of our ongoing development drilling and production enhancement programs. If our counterparties defaulted, this protection might be limited as we might not receive the benefits of the derivatives. We are at risk for changes in the fair value of all of our derivative instruments; however, such risk should be mitigated by price changes related to the underlying commodity transaction. While the use of derivative instruments could materially affect our results of operations in a particular quarter or annual period, we believe that the use of these instruments will not have a material adverse effect on our financial position or liquidity.</w:t>
      </w:r>
    </w:p>
    <w:p>
      <w:pPr>
        <w:pStyle w:val="TextBody"/>
        <w:bidi w:val="0"/>
        <w:spacing w:before="0" w:after="180"/>
        <w:jc w:val="left"/>
        <w:rPr/>
      </w:pPr>
      <w:r>
        <w:rPr>
          <w:rFonts w:ascii="Times New Roman" w:hAnsi="Times New Roman"/>
          <w:color w:val="000000"/>
          <w:sz w:val="20"/>
        </w:rPr>
        <w:t xml:space="preserve">All derivative instruments, other than those that meet the normal purchase and normal sale scope exception or other derivative scope exceptions, are recorded at fair market value in accordance with GAAP and are included in our consolidated balance sheets as assets or liabilities. At December 31, 2025, our derivatives program includes swaps, collars, three-way-collars and swaptions. These contracts expire monthly through December 2028. Their fair value, represented by the estimated amount that would be realized upon immediate liquidation as of December 31, 2025, approximated a net derivative asset of $74.0 million compared to a net derivative asset of $96.1 million at December 31, 2024. As of December 31, 2025 we have hedged approximately 20% of our projected total production for 2026 with approximately 27% of our projected natural gas production hedged. For additional discussion and information over our derivative contracts, see </w:t>
      </w:r>
      <w:hyperlink w:anchor="note_8">
        <w:r>
          <w:rPr>
            <w:rStyle w:val="InternetLink"/>
            <w:rFonts w:ascii="Times New Roman" w:hAnsi="Times New Roman"/>
            <w:color w:val="0000FF"/>
            <w:sz w:val="20"/>
            <w:u w:val="single"/>
          </w:rPr>
          <w:t>Note 8</w:t>
        </w:r>
      </w:hyperlink>
      <w:r>
        <w:rPr>
          <w:rFonts w:ascii="Times New Roman" w:hAnsi="Times New Roman"/>
          <w:color w:val="000000"/>
          <w:sz w:val="20"/>
        </w:rPr>
        <w:t xml:space="preserve"> to our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sz w:val="20"/>
        </w:rPr>
      </w:pPr>
      <w:bookmarkStart w:id="44" w:name="other_commodity_risk"/>
      <w:bookmarkEnd w:id="44"/>
      <w:r>
        <w:rPr>
          <w:rFonts w:ascii="Times New Roman" w:hAnsi="Times New Roman"/>
          <w:b/>
          <w:i/>
          <w:color w:val="000000"/>
          <w:sz w:val="20"/>
        </w:rPr>
        <w:t>Other Commodity Risk</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are impacted by basis risk as natural gas transaction prices are frequently based on industry reference prices that may vary from prices experienced in local markets. If commodity price changes in one region are not reflected in other regions, derivative commodity instruments may no longer provide the expected hedge, resulting in increased basis risk. In addition to the derivative contracts above, we have entered into natural gas basis swap agreements. The price we receive for our natural gas production can be more or less than the NYMEX price because of adjustments for delivery location ("basis"), relative quality and other factors; therefore, we have entered into basis swap agreements that effectively lock in the basis adjustments. The fair value of the natural gas basis swaps, which expire monthly through December 2029, was a net derivative liability of $8.1 million at December 31, 2025 and the total volumes are for 161,290,000 Mmbtu.</w:t>
      </w:r>
    </w:p>
    <w:p>
      <w:pPr>
        <w:pStyle w:val="TextBody"/>
        <w:bidi w:val="0"/>
        <w:spacing w:before="0" w:after="180"/>
        <w:jc w:val="left"/>
        <w:rPr>
          <w:rFonts w:ascii="Times New Roman" w:hAnsi="Times New Roman"/>
          <w:sz w:val="20"/>
        </w:rPr>
      </w:pPr>
      <w:bookmarkStart w:id="45" w:name="commodity_sensitivity"/>
      <w:bookmarkEnd w:id="45"/>
      <w:r>
        <w:rPr>
          <w:rFonts w:ascii="Times New Roman" w:hAnsi="Times New Roman"/>
          <w:b/>
          <w:color w:val="000000"/>
          <w:sz w:val="20"/>
        </w:rPr>
        <w:t>Commodity Sensitivity Analysis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following table shows the fair value of our derivative contracts and the hypothetical change in fair value that would result from a 10% and a 25% change in commodity prices at December 31, 2025. We remain at risk for possible changes in the market value of commodity derivative instruments; however, such risks should be mitigated by price changes in the underlying physical commodity (in thousands):</w:t>
      </w:r>
    </w:p>
    <w:p>
      <w:pPr>
        <w:pStyle w:val="TextBody"/>
        <w:bidi w:val="0"/>
        <w:jc w:val="left"/>
        <w:rPr/>
      </w:pPr>
      <w:r>
        <w:rPr/>
        <w:t> </w:t>
      </w:r>
    </w:p>
    <w:tbl>
      <w:tblPr>
        <w:tblW w:w="7813" w:type="dxa"/>
        <w:jc w:val="left"/>
        <w:tblInd w:w="0" w:type="dxa"/>
        <w:tblLayout w:type="fixed"/>
        <w:tblCellMar>
          <w:top w:w="28" w:type="dxa"/>
          <w:left w:w="28" w:type="dxa"/>
          <w:bottom w:w="28" w:type="dxa"/>
          <w:right w:w="28" w:type="dxa"/>
        </w:tblCellMar>
      </w:tblPr>
      <w:tblGrid>
        <w:gridCol w:w="1561"/>
        <w:gridCol w:w="217"/>
        <w:gridCol w:w="698"/>
        <w:gridCol w:w="166"/>
        <w:gridCol w:w="146"/>
        <w:gridCol w:w="211"/>
        <w:gridCol w:w="736"/>
        <w:gridCol w:w="166"/>
        <w:gridCol w:w="146"/>
        <w:gridCol w:w="211"/>
        <w:gridCol w:w="841"/>
        <w:gridCol w:w="166"/>
        <w:gridCol w:w="146"/>
        <w:gridCol w:w="211"/>
        <w:gridCol w:w="676"/>
        <w:gridCol w:w="166"/>
        <w:gridCol w:w="146"/>
        <w:gridCol w:w="211"/>
        <w:gridCol w:w="781"/>
        <w:gridCol w:w="211"/>
      </w:tblGrid>
      <w:tr>
        <w:trPr/>
        <w:tc>
          <w:tcPr>
            <w:tcW w:w="156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Hypothetical Change in Fair Value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Increase in Commodity</w:t>
              <w:br/>
              <w:t>Price of</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Decrease in Commodity</w:t>
              <w:br/>
              <w:t>Price of</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Swaps</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180,264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Collars</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Three-way collars</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33,267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Basis swaps</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Swaptions</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180"/>
        <w:jc w:val="left"/>
        <w:rPr>
          <w:rFonts w:ascii="Times New Roman" w:hAnsi="Times New Roman"/>
          <w:b/>
          <w:color w:val="000000"/>
          <w:sz w:val="20"/>
        </w:rPr>
      </w:pPr>
      <w:bookmarkStart w:id="46" w:name="counterparty_risk"/>
      <w:bookmarkEnd w:id="46"/>
      <w:r>
        <w:rPr>
          <w:rFonts w:ascii="Times New Roman" w:hAnsi="Times New Roman"/>
          <w:b/>
          <w:color w:val="000000"/>
          <w:sz w:val="20"/>
        </w:rPr>
        <w:t>Counterparty Risk</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Our commodity-based contracts expose us to the credit risk of non-performance by the counterparty to the contracts. Our exposure is diversified among major investment grade financial institutions and commodity traders, and we have master netting agreements with the majority of our counterparties that provide for offsetting payables against receivables from separate derivative contracts. Our derivative contracts are with multiple counterparties to minimize our exposure to any individual counterparty. At December 31, 2025, our derivative counterparties include fourteen financial institutions, of which all but four are secured lenders in our bank credit facility. Counterparty credit risk is considered when determining the fair value of our derivative contracts. While counterparties are major investment grade financial institutions and large commodity traders, the fair value of our derivative contracts have been adjusted to account for the risk of non-performance by certain of our counterparties, which was immaterial. </w:t>
      </w:r>
    </w:p>
    <w:p>
      <w:pPr>
        <w:pStyle w:val="TextBody"/>
        <w:bidi w:val="0"/>
        <w:spacing w:before="0" w:after="180"/>
        <w:jc w:val="left"/>
        <w:rPr>
          <w:rFonts w:ascii="Times New Roman" w:hAnsi="Times New Roman"/>
          <w:sz w:val="20"/>
        </w:rPr>
      </w:pPr>
      <w:bookmarkStart w:id="47" w:name="interest_rate_risk"/>
      <w:bookmarkEnd w:id="47"/>
      <w:r>
        <w:rPr>
          <w:rFonts w:ascii="Times New Roman" w:hAnsi="Times New Roman"/>
          <w:b/>
          <w:color w:val="000000"/>
          <w:sz w:val="20"/>
        </w:rPr>
        <w:t>Interest Rate Risk</w:t>
      </w:r>
      <w:r>
        <w:rPr>
          <w:rFonts w:ascii="Times New Roman" w:hAnsi="Times New Roman"/>
          <w:color w:val="000000"/>
          <w:sz w:val="20"/>
        </w:rPr>
        <w:t xml:space="preserve"> </w:t>
      </w:r>
    </w:p>
    <w:p>
      <w:pPr>
        <w:pStyle w:val="TextBody"/>
        <w:bidi w:val="0"/>
        <w:spacing w:before="0" w:after="180"/>
        <w:jc w:val="left"/>
        <w:rPr/>
      </w:pPr>
      <w:r>
        <w:rPr>
          <w:rFonts w:ascii="Times New Roman" w:hAnsi="Times New Roman"/>
          <w:color w:val="000000"/>
          <w:sz w:val="20"/>
        </w:rPr>
        <w:t xml:space="preserve">At times, we are also exposed to market risks related to changes in interest rates. At December 31, 2025, we had total debt of $1.2 billion, of which 90% was based on fixed interest rates and 10% was based on variable rates. The redemption of our 8.25% senior notes due 2029 utilizing borrowings on our credit facility in January 2026 increased the portion our debt that is based on variable rates to approximately 50% as of January 31, 2026. Our credit facility provides for variable interest rate borrowings, which had a balance of $118.0 million and incurred a weighted average interest at a rate of 6.2% as of December 31, 2025. The 30-day SOFR rate at December 31, 2025 was approximately 3.7%. A 1% increase in short-term interest rates on the floating-rate debt outstanding on December 31, 2025 would have resulted in approximately $1.2 million in additional annual interest expense. See </w:t>
      </w:r>
      <w:hyperlink w:anchor="note_6">
        <w:r>
          <w:rPr>
            <w:rStyle w:val="InternetLink"/>
            <w:rFonts w:ascii="Times New Roman" w:hAnsi="Times New Roman"/>
            <w:color w:val="0000FF"/>
            <w:sz w:val="20"/>
            <w:u w:val="single"/>
          </w:rPr>
          <w:t>Note 6</w:t>
        </w:r>
      </w:hyperlink>
      <w:r>
        <w:rPr>
          <w:rFonts w:ascii="Times New Roman" w:hAnsi="Times New Roman"/>
          <w:color w:val="000000"/>
          <w:sz w:val="20"/>
        </w:rPr>
        <w:t xml:space="preserve"> to our consolidated financial statements for more information about our senior notes. </w:t>
      </w:r>
    </w:p>
    <w:p>
      <w:pPr>
        <w:pStyle w:val="TextBody"/>
        <w:bidi w:val="0"/>
        <w:spacing w:before="0" w:after="18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360"/>
        <w:jc w:val="left"/>
        <w:rPr>
          <w:rFonts w:ascii="Times New Roman" w:hAnsi="Times New Roman"/>
          <w:b/>
          <w:caps/>
          <w:color w:val="000000"/>
          <w:sz w:val="20"/>
        </w:rPr>
      </w:pPr>
      <w:bookmarkStart w:id="48" w:name="item_8_financial_statements_supplementar"/>
      <w:bookmarkEnd w:id="48"/>
      <w:r>
        <w:rPr>
          <w:rFonts w:ascii="Times New Roman" w:hAnsi="Times New Roman"/>
          <w:b/>
          <w:caps/>
          <w:color w:val="000000"/>
          <w:sz w:val="20"/>
        </w:rPr>
        <w:t>Item 8. financial statements and supplementary data</w:t>
      </w:r>
    </w:p>
    <w:p>
      <w:pPr>
        <w:pStyle w:val="TextBody"/>
        <w:bidi w:val="0"/>
        <w:jc w:val="center"/>
        <w:rPr>
          <w:rFonts w:ascii="Times New Roman" w:hAnsi="Times New Roman"/>
          <w:sz w:val="20"/>
        </w:rPr>
      </w:pPr>
      <w:r>
        <w:rPr>
          <w:rFonts w:ascii="Times New Roman" w:hAnsi="Times New Roman"/>
          <w:b/>
          <w:caps/>
          <w:color w:val="000000"/>
          <w:sz w:val="20"/>
        </w:rPr>
        <w:t>RANGE RESOURCES CORPORATION</w:t>
      </w:r>
      <w:r>
        <w:rPr>
          <w:rFonts w:ascii="Times New Roman" w:hAnsi="Times New Roman"/>
          <w:caps/>
          <w:color w:val="000000"/>
          <w:sz w:val="20"/>
        </w:rPr>
        <w:t xml:space="preserve"> </w:t>
      </w:r>
    </w:p>
    <w:p>
      <w:pPr>
        <w:pStyle w:val="TextBody"/>
        <w:bidi w:val="0"/>
        <w:spacing w:before="240" w:after="283"/>
        <w:jc w:val="center"/>
        <w:rPr>
          <w:rFonts w:ascii="Times New Roman" w:hAnsi="Times New Roman"/>
          <w:sz w:val="20"/>
        </w:rPr>
      </w:pPr>
      <w:bookmarkStart w:id="49" w:name="index_to_financial_statements"/>
      <w:bookmarkEnd w:id="49"/>
      <w:r>
        <w:rPr>
          <w:rFonts w:ascii="Times New Roman" w:hAnsi="Times New Roman"/>
          <w:b/>
          <w:caps/>
          <w:color w:val="000000"/>
          <w:sz w:val="20"/>
        </w:rPr>
        <w:t>INDEX TO CONSOLIDATED FINANCIAL STATEMENTS</w:t>
      </w:r>
      <w:r>
        <w:rPr>
          <w:rFonts w:ascii="Times New Roman" w:hAnsi="Times New Roman"/>
          <w:caps/>
          <w:color w:val="000000"/>
          <w:sz w:val="20"/>
        </w:rPr>
        <w:t xml:space="preserve"> </w:t>
      </w:r>
    </w:p>
    <w:tbl>
      <w:tblPr>
        <w:tblW w:w="10172" w:type="dxa"/>
        <w:jc w:val="left"/>
        <w:tblInd w:w="0" w:type="dxa"/>
        <w:tblLayout w:type="fixed"/>
        <w:tblCellMar>
          <w:top w:w="28" w:type="dxa"/>
          <w:left w:w="28" w:type="dxa"/>
          <w:bottom w:w="28" w:type="dxa"/>
          <w:right w:w="28" w:type="dxa"/>
        </w:tblCellMar>
      </w:tblPr>
      <w:tblGrid>
        <w:gridCol w:w="9136"/>
        <w:gridCol w:w="262"/>
        <w:gridCol w:w="774"/>
      </w:tblGrid>
      <w:tr>
        <w:trPr/>
        <w:tc>
          <w:tcPr>
            <w:tcW w:w="913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r>
      <w:tr>
        <w:trPr/>
        <w:tc>
          <w:tcPr>
            <w:tcW w:w="9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Page</w:t>
            </w:r>
          </w:p>
          <w:p>
            <w:pPr>
              <w:pStyle w:val="TableContents"/>
              <w:bidi w:val="0"/>
              <w:spacing w:before="0" w:after="283"/>
              <w:ind w:left="0" w:right="0" w:firstLine="240"/>
              <w:jc w:val="center"/>
              <w:rPr>
                <w:rFonts w:ascii="Times New Roman" w:hAnsi="Times New Roman"/>
                <w:b/>
                <w:color w:val="000000"/>
                <w:sz w:val="18"/>
              </w:rPr>
            </w:pPr>
            <w:r>
              <w:rPr>
                <w:rFonts w:ascii="Times New Roman" w:hAnsi="Times New Roman"/>
                <w:b/>
                <w:color w:val="000000"/>
                <w:sz w:val="18"/>
              </w:rPr>
              <w:t>Number</w:t>
            </w:r>
          </w:p>
        </w:tc>
      </w:tr>
      <w:tr>
        <w:trPr/>
        <w:tc>
          <w:tcPr>
            <w:tcW w:w="913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262"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4"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r>
      <w:tr>
        <w:trPr/>
        <w:tc>
          <w:tcPr>
            <w:tcW w:w="913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managements_report_on_internal_control_o">
              <w:r>
                <w:rPr>
                  <w:rStyle w:val="InternetLink"/>
                  <w:rFonts w:ascii="Times New Roman" w:hAnsi="Times New Roman"/>
                  <w:color w:val="0000FF"/>
                  <w:sz w:val="20"/>
                  <w:u w:val="single"/>
                </w:rPr>
                <w:t>Management’s Report on Internal Control Over Financial Reporting</w:t>
              </w:r>
            </w:hyperlink>
          </w:p>
        </w:tc>
        <w:tc>
          <w:tcPr>
            <w:tcW w:w="1036"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F–2</w:t>
            </w:r>
          </w:p>
        </w:tc>
      </w:tr>
      <w:tr>
        <w:trPr/>
        <w:tc>
          <w:tcPr>
            <w:tcW w:w="9136" w:type="dxa"/>
            <w:tcBorders/>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tcMar>
              <w:top w:w="0" w:type="dxa"/>
              <w:left w:w="0" w:type="dxa"/>
              <w:bottom w:w="0" w:type="dxa"/>
              <w:right w:w="0" w:type="dxa"/>
            </w:tcMar>
            <w:vAlign w:val="center"/>
          </w:tcPr>
          <w:p>
            <w:pPr>
              <w:pStyle w:val="TableContents"/>
              <w:bidi w:val="0"/>
              <w:spacing w:before="0" w:after="283"/>
              <w:jc w:val="right"/>
              <w:rPr/>
            </w:pPr>
            <w:r>
              <w:rPr/>
              <w:t> </w:t>
            </w:r>
          </w:p>
        </w:tc>
        <w:tc>
          <w:tcPr>
            <w:tcW w:w="774"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r>
      <w:tr>
        <w:trPr/>
        <w:tc>
          <w:tcPr>
            <w:tcW w:w="9136" w:type="dxa"/>
            <w:tcBorders/>
            <w:tcMar>
              <w:top w:w="0" w:type="dxa"/>
              <w:left w:w="0" w:type="dxa"/>
              <w:bottom w:w="0" w:type="dxa"/>
              <w:right w:w="0" w:type="dxa"/>
            </w:tcMar>
            <w:vAlign w:val="center"/>
          </w:tcPr>
          <w:p>
            <w:pPr>
              <w:pStyle w:val="TableContents"/>
              <w:bidi w:val="0"/>
              <w:spacing w:before="0" w:after="20"/>
              <w:ind w:left="0" w:right="0" w:firstLine="240"/>
              <w:jc w:val="left"/>
              <w:rPr/>
            </w:pPr>
            <w:hyperlink w:anchor="report_independent_registered_public_acc">
              <w:r>
                <w:rPr>
                  <w:rStyle w:val="InternetLink"/>
                  <w:rFonts w:ascii="Times New Roman" w:hAnsi="Times New Roman"/>
                  <w:color w:val="0000FF"/>
                  <w:sz w:val="20"/>
                  <w:u w:val="single"/>
                </w:rPr>
                <w:t>Reports of Independent Registered Public Accounting Firm PCAOB Firm ID: 00042</w:t>
              </w:r>
            </w:hyperlink>
            <w:hyperlink w:anchor="report_independent_registered_public_acc">
              <w:r>
                <w:rPr>
                  <w:rStyle w:val="InternetLink"/>
                  <w:rFonts w:ascii="Times New Roman" w:hAnsi="Times New Roman"/>
                  <w:color w:val="0000FF"/>
                  <w:sz w:val="20"/>
                </w:rPr>
                <w:t xml:space="preserve"> </w:t>
              </w:r>
            </w:hyperlink>
          </w:p>
        </w:tc>
        <w:tc>
          <w:tcPr>
            <w:tcW w:w="1036"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F–3</w:t>
            </w:r>
          </w:p>
        </w:tc>
      </w:tr>
      <w:tr>
        <w:trPr/>
        <w:tc>
          <w:tcPr>
            <w:tcW w:w="9136" w:type="dxa"/>
            <w:tcBorders/>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tcMar>
              <w:top w:w="0" w:type="dxa"/>
              <w:left w:w="0" w:type="dxa"/>
              <w:bottom w:w="0" w:type="dxa"/>
              <w:right w:w="0" w:type="dxa"/>
            </w:tcMar>
            <w:vAlign w:val="center"/>
          </w:tcPr>
          <w:p>
            <w:pPr>
              <w:pStyle w:val="TableContents"/>
              <w:bidi w:val="0"/>
              <w:spacing w:before="0" w:after="283"/>
              <w:jc w:val="right"/>
              <w:rPr/>
            </w:pPr>
            <w:r>
              <w:rPr/>
              <w:t> </w:t>
            </w:r>
          </w:p>
        </w:tc>
        <w:tc>
          <w:tcPr>
            <w:tcW w:w="774"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r>
      <w:tr>
        <w:trPr/>
        <w:tc>
          <w:tcPr>
            <w:tcW w:w="9136" w:type="dxa"/>
            <w:tcBorders/>
            <w:tcMar>
              <w:top w:w="0" w:type="dxa"/>
              <w:left w:w="0" w:type="dxa"/>
              <w:bottom w:w="0" w:type="dxa"/>
              <w:right w:w="0" w:type="dxa"/>
            </w:tcMar>
            <w:vAlign w:val="center"/>
          </w:tcPr>
          <w:p>
            <w:pPr>
              <w:pStyle w:val="TableContents"/>
              <w:bidi w:val="0"/>
              <w:spacing w:before="0" w:after="20"/>
              <w:ind w:left="0" w:right="0" w:firstLine="240"/>
              <w:jc w:val="left"/>
              <w:rPr/>
            </w:pPr>
            <w:hyperlink w:anchor="consolidated_balance_sheets">
              <w:r>
                <w:rPr>
                  <w:rStyle w:val="InternetLink"/>
                  <w:rFonts w:ascii="Times New Roman" w:hAnsi="Times New Roman"/>
                  <w:color w:val="0000FF"/>
                  <w:sz w:val="20"/>
                  <w:u w:val="single"/>
                </w:rPr>
                <w:t>Consolidated Balance Sheets as of December 31, 2025 and 2024</w:t>
              </w:r>
            </w:hyperlink>
          </w:p>
        </w:tc>
        <w:tc>
          <w:tcPr>
            <w:tcW w:w="1036"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F–6 </w:t>
            </w:r>
          </w:p>
        </w:tc>
      </w:tr>
      <w:tr>
        <w:trPr/>
        <w:tc>
          <w:tcPr>
            <w:tcW w:w="9136" w:type="dxa"/>
            <w:tcBorders/>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tcMar>
              <w:top w:w="0" w:type="dxa"/>
              <w:left w:w="0" w:type="dxa"/>
              <w:bottom w:w="0" w:type="dxa"/>
              <w:right w:w="0" w:type="dxa"/>
            </w:tcMar>
            <w:vAlign w:val="center"/>
          </w:tcPr>
          <w:p>
            <w:pPr>
              <w:pStyle w:val="TableContents"/>
              <w:bidi w:val="0"/>
              <w:spacing w:before="0" w:after="283"/>
              <w:jc w:val="right"/>
              <w:rPr/>
            </w:pPr>
            <w:r>
              <w:rPr/>
              <w:t> </w:t>
            </w:r>
          </w:p>
        </w:tc>
        <w:tc>
          <w:tcPr>
            <w:tcW w:w="774"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r>
      <w:tr>
        <w:trPr/>
        <w:tc>
          <w:tcPr>
            <w:tcW w:w="9136" w:type="dxa"/>
            <w:tcBorders/>
            <w:tcMar>
              <w:top w:w="0" w:type="dxa"/>
              <w:left w:w="0" w:type="dxa"/>
              <w:bottom w:w="0" w:type="dxa"/>
              <w:right w:w="0" w:type="dxa"/>
            </w:tcMar>
            <w:vAlign w:val="center"/>
          </w:tcPr>
          <w:p>
            <w:pPr>
              <w:pStyle w:val="TableContents"/>
              <w:bidi w:val="0"/>
              <w:spacing w:before="0" w:after="20"/>
              <w:ind w:left="0" w:right="0" w:firstLine="240"/>
              <w:jc w:val="left"/>
              <w:rPr/>
            </w:pPr>
            <w:hyperlink w:anchor="statements_of_income">
              <w:r>
                <w:rPr>
                  <w:rStyle w:val="InternetLink"/>
                  <w:rFonts w:ascii="Times New Roman" w:hAnsi="Times New Roman"/>
                  <w:color w:val="0000FF"/>
                  <w:sz w:val="20"/>
                  <w:u w:val="single"/>
                </w:rPr>
                <w:t>Consolidated Statements of Income for the Years Ended December 31, 2025, 2024 and 2023</w:t>
              </w:r>
            </w:hyperlink>
          </w:p>
        </w:tc>
        <w:tc>
          <w:tcPr>
            <w:tcW w:w="1036" w:type="dxa"/>
            <w:gridSpan w:val="2"/>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 xml:space="preserve">F–7 </w:t>
            </w:r>
          </w:p>
        </w:tc>
      </w:tr>
      <w:tr>
        <w:trPr/>
        <w:tc>
          <w:tcPr>
            <w:tcW w:w="9136" w:type="dxa"/>
            <w:tcBorders/>
            <w:tcMar>
              <w:top w:w="0" w:type="dxa"/>
              <w:left w:w="0" w:type="dxa"/>
              <w:bottom w:w="0" w:type="dxa"/>
              <w:right w:w="0" w:type="dxa"/>
            </w:tcMar>
            <w:vAlign w:val="center"/>
          </w:tcPr>
          <w:p>
            <w:pPr>
              <w:pStyle w:val="TableContents"/>
              <w:bidi w:val="0"/>
              <w:spacing w:before="0" w:after="20"/>
              <w:ind w:left="0" w:right="0" w:firstLine="240"/>
              <w:jc w:val="left"/>
              <w:rPr/>
            </w:pPr>
            <w:r>
              <w:rPr/>
              <w:t> </w:t>
            </w:r>
          </w:p>
        </w:tc>
        <w:tc>
          <w:tcPr>
            <w:tcW w:w="262" w:type="dxa"/>
            <w:tcBorders/>
            <w:tcMar>
              <w:top w:w="0" w:type="dxa"/>
              <w:left w:w="0" w:type="dxa"/>
              <w:bottom w:w="0" w:type="dxa"/>
              <w:right w:w="0" w:type="dxa"/>
            </w:tcMar>
            <w:vAlign w:val="center"/>
          </w:tcPr>
          <w:p>
            <w:pPr>
              <w:pStyle w:val="TableContents"/>
              <w:bidi w:val="0"/>
              <w:spacing w:before="0" w:after="283"/>
              <w:jc w:val="right"/>
              <w:rPr/>
            </w:pPr>
            <w:r>
              <w:rPr/>
              <w:t> </w:t>
            </w:r>
          </w:p>
        </w:tc>
        <w:tc>
          <w:tcPr>
            <w:tcW w:w="774"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r>
      <w:tr>
        <w:trPr/>
        <w:tc>
          <w:tcPr>
            <w:tcW w:w="9136" w:type="dxa"/>
            <w:tcBorders/>
            <w:tcMar>
              <w:top w:w="0" w:type="dxa"/>
              <w:left w:w="0" w:type="dxa"/>
              <w:bottom w:w="0" w:type="dxa"/>
              <w:right w:w="0" w:type="dxa"/>
            </w:tcMar>
            <w:vAlign w:val="center"/>
          </w:tcPr>
          <w:p>
            <w:pPr>
              <w:pStyle w:val="TableContents"/>
              <w:bidi w:val="0"/>
              <w:spacing w:before="0" w:after="20"/>
              <w:ind w:left="0" w:right="0" w:firstLine="240"/>
              <w:jc w:val="left"/>
              <w:rPr/>
            </w:pPr>
            <w:hyperlink w:anchor="consolidated_statements_comprehensive_lo">
              <w:r>
                <w:rPr>
                  <w:rStyle w:val="InternetLink"/>
                  <w:rFonts w:ascii="Times New Roman" w:hAnsi="Times New Roman"/>
                  <w:color w:val="0000FF"/>
                  <w:sz w:val="20"/>
                  <w:u w:val="single"/>
                </w:rPr>
                <w:t>Consolidated Statements of Comprehensive Income for the Years Ended December 31, 2025, 2024 and 2023</w:t>
              </w:r>
            </w:hyperlink>
          </w:p>
        </w:tc>
        <w:tc>
          <w:tcPr>
            <w:tcW w:w="1036"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F–8</w:t>
            </w:r>
          </w:p>
        </w:tc>
      </w:tr>
      <w:tr>
        <w:trPr/>
        <w:tc>
          <w:tcPr>
            <w:tcW w:w="9136" w:type="dxa"/>
            <w:tcBorders/>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tcMar>
              <w:top w:w="0" w:type="dxa"/>
              <w:left w:w="0" w:type="dxa"/>
              <w:bottom w:w="0" w:type="dxa"/>
              <w:right w:w="0" w:type="dxa"/>
            </w:tcMar>
            <w:vAlign w:val="center"/>
          </w:tcPr>
          <w:p>
            <w:pPr>
              <w:pStyle w:val="TableContents"/>
              <w:bidi w:val="0"/>
              <w:spacing w:before="0" w:after="283"/>
              <w:jc w:val="right"/>
              <w:rPr/>
            </w:pPr>
            <w:r>
              <w:rPr/>
              <w:t> </w:t>
            </w:r>
          </w:p>
        </w:tc>
        <w:tc>
          <w:tcPr>
            <w:tcW w:w="774"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r>
      <w:tr>
        <w:trPr/>
        <w:tc>
          <w:tcPr>
            <w:tcW w:w="9136" w:type="dxa"/>
            <w:tcBorders/>
            <w:tcMar>
              <w:top w:w="0" w:type="dxa"/>
              <w:left w:w="0" w:type="dxa"/>
              <w:bottom w:w="0" w:type="dxa"/>
              <w:right w:w="0" w:type="dxa"/>
            </w:tcMar>
            <w:vAlign w:val="center"/>
          </w:tcPr>
          <w:p>
            <w:pPr>
              <w:pStyle w:val="TableContents"/>
              <w:bidi w:val="0"/>
              <w:spacing w:before="0" w:after="20"/>
              <w:ind w:left="0" w:right="0" w:firstLine="240"/>
              <w:jc w:val="left"/>
              <w:rPr/>
            </w:pPr>
            <w:hyperlink w:anchor="cash_flows">
              <w:r>
                <w:rPr>
                  <w:rStyle w:val="InternetLink"/>
                  <w:rFonts w:ascii="Times New Roman" w:hAnsi="Times New Roman"/>
                  <w:color w:val="0000FF"/>
                  <w:sz w:val="20"/>
                  <w:u w:val="single"/>
                </w:rPr>
                <w:t>Consolidated Statements of Cash Flows for the Years Ended December 31, 2025, 2024 and 2023</w:t>
              </w:r>
            </w:hyperlink>
          </w:p>
        </w:tc>
        <w:tc>
          <w:tcPr>
            <w:tcW w:w="1036"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F–9</w:t>
            </w:r>
          </w:p>
        </w:tc>
      </w:tr>
      <w:tr>
        <w:trPr/>
        <w:tc>
          <w:tcPr>
            <w:tcW w:w="9136" w:type="dxa"/>
            <w:tcBorders/>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tcMar>
              <w:top w:w="0" w:type="dxa"/>
              <w:left w:w="0" w:type="dxa"/>
              <w:bottom w:w="0" w:type="dxa"/>
              <w:right w:w="0" w:type="dxa"/>
            </w:tcMar>
            <w:vAlign w:val="center"/>
          </w:tcPr>
          <w:p>
            <w:pPr>
              <w:pStyle w:val="TableContents"/>
              <w:bidi w:val="0"/>
              <w:spacing w:before="0" w:after="283"/>
              <w:jc w:val="right"/>
              <w:rPr/>
            </w:pPr>
            <w:r>
              <w:rPr/>
              <w:t> </w:t>
            </w:r>
          </w:p>
        </w:tc>
        <w:tc>
          <w:tcPr>
            <w:tcW w:w="774"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r>
      <w:tr>
        <w:trPr/>
        <w:tc>
          <w:tcPr>
            <w:tcW w:w="9136" w:type="dxa"/>
            <w:tcBorders/>
            <w:tcMar>
              <w:top w:w="0" w:type="dxa"/>
              <w:left w:w="0" w:type="dxa"/>
              <w:bottom w:w="0" w:type="dxa"/>
              <w:right w:w="0" w:type="dxa"/>
            </w:tcMar>
            <w:vAlign w:val="center"/>
          </w:tcPr>
          <w:p>
            <w:pPr>
              <w:pStyle w:val="TableContents"/>
              <w:bidi w:val="0"/>
              <w:spacing w:before="0" w:after="20"/>
              <w:ind w:left="0" w:right="0" w:firstLine="240"/>
              <w:jc w:val="left"/>
              <w:rPr/>
            </w:pPr>
            <w:hyperlink w:anchor="consolidated_statements_of_stockholders">
              <w:r>
                <w:rPr>
                  <w:rStyle w:val="InternetLink"/>
                  <w:rFonts w:ascii="Times New Roman" w:hAnsi="Times New Roman"/>
                  <w:color w:val="0000FF"/>
                  <w:sz w:val="20"/>
                  <w:u w:val="single"/>
                </w:rPr>
                <w:t>Consolidated Statements of Stockholders’ Equity for the Years Ended December 31, 2025, 2024 and 2023</w:t>
              </w:r>
            </w:hyperlink>
          </w:p>
        </w:tc>
        <w:tc>
          <w:tcPr>
            <w:tcW w:w="1036"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F–10 </w:t>
            </w:r>
          </w:p>
        </w:tc>
      </w:tr>
      <w:tr>
        <w:trPr/>
        <w:tc>
          <w:tcPr>
            <w:tcW w:w="9136" w:type="dxa"/>
            <w:tcBorders/>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tcMar>
              <w:top w:w="0" w:type="dxa"/>
              <w:left w:w="0" w:type="dxa"/>
              <w:bottom w:w="0" w:type="dxa"/>
              <w:right w:w="0" w:type="dxa"/>
            </w:tcMar>
            <w:vAlign w:val="center"/>
          </w:tcPr>
          <w:p>
            <w:pPr>
              <w:pStyle w:val="TableContents"/>
              <w:bidi w:val="0"/>
              <w:spacing w:before="0" w:after="283"/>
              <w:jc w:val="right"/>
              <w:rPr/>
            </w:pPr>
            <w:r>
              <w:rPr/>
              <w:t> </w:t>
            </w:r>
          </w:p>
        </w:tc>
        <w:tc>
          <w:tcPr>
            <w:tcW w:w="774"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r>
      <w:tr>
        <w:trPr/>
        <w:tc>
          <w:tcPr>
            <w:tcW w:w="9136" w:type="dxa"/>
            <w:tcBorders/>
            <w:tcMar>
              <w:top w:w="0" w:type="dxa"/>
              <w:left w:w="0" w:type="dxa"/>
              <w:bottom w:w="0" w:type="dxa"/>
              <w:right w:w="0" w:type="dxa"/>
            </w:tcMar>
            <w:vAlign w:val="center"/>
          </w:tcPr>
          <w:p>
            <w:pPr>
              <w:pStyle w:val="TableContents"/>
              <w:bidi w:val="0"/>
              <w:spacing w:before="0" w:after="20"/>
              <w:ind w:left="0" w:right="0" w:firstLine="240"/>
              <w:jc w:val="left"/>
              <w:rPr/>
            </w:pPr>
            <w:hyperlink w:anchor="notes_to_consolidated_financial_state">
              <w:r>
                <w:rPr>
                  <w:rStyle w:val="InternetLink"/>
                  <w:rFonts w:ascii="Times New Roman" w:hAnsi="Times New Roman"/>
                  <w:color w:val="0000FF"/>
                  <w:sz w:val="20"/>
                  <w:u w:val="single"/>
                </w:rPr>
                <w:t>Notes to Consolidated Financial Statements</w:t>
              </w:r>
            </w:hyperlink>
          </w:p>
        </w:tc>
        <w:tc>
          <w:tcPr>
            <w:tcW w:w="1036"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F–11</w:t>
            </w:r>
          </w:p>
        </w:tc>
      </w:tr>
      <w:tr>
        <w:trPr/>
        <w:tc>
          <w:tcPr>
            <w:tcW w:w="9136" w:type="dxa"/>
            <w:tcBorders/>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tcMar>
              <w:top w:w="0" w:type="dxa"/>
              <w:left w:w="0" w:type="dxa"/>
              <w:bottom w:w="0" w:type="dxa"/>
              <w:right w:w="0" w:type="dxa"/>
            </w:tcMar>
            <w:vAlign w:val="center"/>
          </w:tcPr>
          <w:p>
            <w:pPr>
              <w:pStyle w:val="TableContents"/>
              <w:bidi w:val="0"/>
              <w:spacing w:before="0" w:after="283"/>
              <w:jc w:val="right"/>
              <w:rPr/>
            </w:pPr>
            <w:r>
              <w:rPr/>
              <w:t> </w:t>
            </w:r>
          </w:p>
        </w:tc>
        <w:tc>
          <w:tcPr>
            <w:tcW w:w="774"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40" w:after="4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360"/>
        <w:jc w:val="center"/>
        <w:rPr>
          <w:rFonts w:ascii="Times New Roman" w:hAnsi="Times New Roman"/>
          <w:sz w:val="20"/>
        </w:rPr>
      </w:pPr>
      <w:bookmarkStart w:id="50" w:name="managements_report_on_internal_control_o"/>
      <w:bookmarkEnd w:id="50"/>
      <w:r>
        <w:rPr>
          <w:rFonts w:ascii="Times New Roman" w:hAnsi="Times New Roman"/>
          <w:b/>
          <w:caps/>
          <w:color w:val="000000"/>
          <w:sz w:val="20"/>
        </w:rPr>
        <w:t>Management’s Report on Internal Control over Financial Reporting</w:t>
      </w:r>
      <w:r>
        <w:rPr>
          <w:rFonts w:ascii="Times New Roman" w:hAnsi="Times New Roman"/>
          <w:caps/>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To the Stockholders of Range Resources Corporation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Management is responsible for establishing and maintaining an adequate system of internal control over financial reporting (as defined in Rule 13(a)-15(f) under the Securities Exchange Act of 1934, as amended). Our internal control over financial reporting is designed to provide reasonable assurance regarding the reliability of financial reporting and presentation of consolidated financial statements.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Because of its inherent limitations, internal control over financial reporting may not prevent or detect misstatements and even when determined to be effective, can only provide reasonable assurance with respect to financial statement preparation and presentation. Also, projections of any evaluation of effectiveness to future periods are subject to the risk that the internal controls may become inadequate because of changes in conditions or because the degree of compliance with the policies or procedures may deteriorate. </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Management assessed the effectiveness of our internal control over financial reporting as of December 31, 2025. In making this assessment, which was conducted under the supervision and with the participation of management, including our Chief Executive Officer and Chief Financial Officer, management used the criteria set forth by the Committee of Sponsoring Organizations of the Treadway Commission (COSO) in </w:t>
      </w:r>
      <w:r>
        <w:rPr>
          <w:rFonts w:ascii="Times New Roman" w:hAnsi="Times New Roman"/>
          <w:i/>
          <w:color w:val="000000"/>
          <w:sz w:val="20"/>
        </w:rPr>
        <w:t xml:space="preserve">Internal Control – Integrated Framework (2013). </w:t>
      </w:r>
      <w:r>
        <w:rPr>
          <w:rFonts w:ascii="Times New Roman" w:hAnsi="Times New Roman"/>
          <w:color w:val="000000"/>
          <w:sz w:val="20"/>
        </w:rPr>
        <w:t>Based on our assessment, we believe that, as of December 31, 2025, our internal control over financial reporting was effective based on those criteria.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Ernst and Young LLP, our independent registered public accounting firm, audited our financial statements included in this annual report and has issued an attestation report on our internal control over financial reporting as of December 31, 2025. Their report appears on the following page. </w:t>
      </w:r>
    </w:p>
    <w:p>
      <w:pPr>
        <w:pStyle w:val="TextBody"/>
        <w:bidi w:val="0"/>
        <w:spacing w:before="0" w:after="240"/>
        <w:jc w:val="left"/>
        <w:rPr/>
      </w:pPr>
      <w:r>
        <w:rPr/>
        <w:t> </w:t>
      </w:r>
    </w:p>
    <w:tbl>
      <w:tblPr>
        <w:tblW w:w="9015" w:type="dxa"/>
        <w:jc w:val="left"/>
        <w:tblInd w:w="0" w:type="dxa"/>
        <w:tblLayout w:type="fixed"/>
        <w:tblCellMar>
          <w:top w:w="28" w:type="dxa"/>
          <w:left w:w="28" w:type="dxa"/>
          <w:bottom w:w="28" w:type="dxa"/>
          <w:right w:w="28" w:type="dxa"/>
        </w:tblCellMar>
      </w:tblPr>
      <w:tblGrid>
        <w:gridCol w:w="421"/>
        <w:gridCol w:w="109"/>
        <w:gridCol w:w="3226"/>
        <w:gridCol w:w="146"/>
        <w:gridCol w:w="406"/>
        <w:gridCol w:w="146"/>
        <w:gridCol w:w="4561"/>
      </w:tblGrid>
      <w:tr>
        <w:trPr/>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61"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DENNIS L. DEGNER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 </w:t>
            </w:r>
            <w:r>
              <w:rPr>
                <w:rFonts w:ascii="Times New Roman" w:hAnsi="Times New Roman"/>
                <w:caps/>
                <w:color w:val="000000"/>
                <w:sz w:val="20"/>
              </w:rPr>
              <w:t>Mark S. scucchi</w:t>
            </w:r>
            <w:r>
              <w:rPr>
                <w:rFonts w:ascii="Times New Roman" w:hAnsi="Times New Roman"/>
                <w:color w:val="000000"/>
                <w:sz w:val="20"/>
              </w:rPr>
              <w:t xml:space="preserve"> </w:t>
            </w:r>
          </w:p>
        </w:tc>
      </w:tr>
      <w:tr>
        <w:trPr/>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Dennis L. Degner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Mark S. Scucchi</w:t>
            </w:r>
          </w:p>
        </w:tc>
      </w:tr>
      <w:tr>
        <w:trPr/>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Chief Executive Officer and President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Executive Vice President and Chief Financial Officer</w:t>
            </w:r>
          </w:p>
        </w:tc>
      </w:tr>
    </w:tbl>
    <w:p>
      <w:pPr>
        <w:pStyle w:val="TextBody"/>
        <w:bidi w:val="0"/>
        <w:spacing w:before="240" w:after="283"/>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Fort Worth, Texas </w:t>
      </w:r>
    </w:p>
    <w:p>
      <w:pPr>
        <w:pStyle w:val="TextBody"/>
        <w:bidi w:val="0"/>
        <w:jc w:val="left"/>
        <w:rPr>
          <w:rFonts w:ascii="Times New Roman" w:hAnsi="Times New Roman"/>
          <w:color w:val="000000"/>
          <w:sz w:val="20"/>
        </w:rPr>
      </w:pPr>
      <w:r>
        <w:rPr>
          <w:rFonts w:ascii="Times New Roman" w:hAnsi="Times New Roman"/>
          <w:color w:val="000000"/>
          <w:sz w:val="20"/>
        </w:rPr>
        <w:t>February 24, 2026</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51" w:name="report_independent_registered_public_acc"/>
      <w:bookmarkEnd w:id="51"/>
      <w:r>
        <w:rPr>
          <w:rFonts w:ascii="Times New Roman" w:hAnsi="Times New Roman"/>
          <w:b/>
          <w:color w:val="000000"/>
          <w:sz w:val="20"/>
        </w:rPr>
        <w:t>Report of Independent Registered Public Accounting Firm</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To the Stockholders and the Board of Directors of Range Resources Corporation</w:t>
      </w:r>
    </w:p>
    <w:p>
      <w:pPr>
        <w:pStyle w:val="TextBody"/>
        <w:bidi w:val="0"/>
        <w:jc w:val="left"/>
        <w:rPr>
          <w:rFonts w:ascii="Times New Roman" w:hAnsi="Times New Roman"/>
          <w:b/>
          <w:color w:val="000000"/>
          <w:sz w:val="20"/>
        </w:rPr>
      </w:pPr>
      <w:r>
        <w:rPr>
          <w:rFonts w:ascii="Times New Roman" w:hAnsi="Times New Roman"/>
          <w:b/>
          <w:color w:val="000000"/>
          <w:sz w:val="20"/>
        </w:rPr>
        <w:t>Opinion on Internal Control Over Financial Reporting</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We have audited Range Resources Corporation’s internal control over financial reporting as of December 31, 2025, based on criteria established in Internal Control—Integrated Framework issued by the Committee of Sponsoring Organizations of the Treadway Commission (2013 framework) (the COSO criteria). In our opinion, Range Resources Corporation (the Company) maintained, in all material respects, effective internal control over financial reporting as of December 31, 2025, based on the COSO criteria.</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also have audited, in accordance with the standards of the Public Company Accounting Oversight Board (United States) (PCAOB), the consolidated balance sheets of the Company as of December 31, 2025 and 2024, the related consolidated statements of income, comprehensive income, stockholders' equity and cash flows for each of the three years in the period ended December 31, 2025, and the related notes and our report dated February 24, 2026 expressed an unqualified opinion thereon.</w:t>
      </w:r>
    </w:p>
    <w:p>
      <w:pPr>
        <w:pStyle w:val="TextBody"/>
        <w:bidi w:val="0"/>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We conducted our audit in accordance with the standards of the PCAOB. Those standards require that we plan and perform the audit to obtain reasonable assurance about whether effective internal control over financial reporting was maintained in all material respects.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 </w:t>
      </w:r>
    </w:p>
    <w:p>
      <w:pPr>
        <w:pStyle w:val="TextBody"/>
        <w:bidi w:val="0"/>
        <w:spacing w:before="0" w:after="180"/>
        <w:jc w:val="left"/>
        <w:rPr>
          <w:rFonts w:ascii="Times New Roman" w:hAnsi="Times New Roman"/>
          <w:sz w:val="20"/>
        </w:rPr>
      </w:pPr>
      <w:r>
        <w:rPr>
          <w:rFonts w:ascii="Times New Roman" w:hAnsi="Times New Roman"/>
          <w:b/>
          <w:color w:val="000000"/>
          <w:sz w:val="20"/>
        </w:rPr>
        <w:t>Definition and Limitations of Internal Control Over Financial Reporting</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/s/ Ernst &amp; Young LLP</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Fort Worth, Texas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February 24, 2026</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center"/>
        <w:rPr>
          <w:rFonts w:ascii="Times New Roman" w:hAnsi="Times New Roman"/>
          <w:b/>
          <w:color w:val="000000"/>
          <w:sz w:val="20"/>
        </w:rPr>
      </w:pPr>
      <w:bookmarkStart w:id="52" w:name="report_of_independent_registered_public"/>
      <w:bookmarkEnd w:id="52"/>
      <w:r>
        <w:rPr>
          <w:rFonts w:ascii="Times New Roman" w:hAnsi="Times New Roman"/>
          <w:b/>
          <w:color w:val="000000"/>
          <w:sz w:val="20"/>
        </w:rPr>
        <w:t>Report of Independent Registered Public Accounting Firm</w:t>
      </w:r>
    </w:p>
    <w:p>
      <w:pPr>
        <w:pStyle w:val="TextBody"/>
        <w:bidi w:val="0"/>
        <w:spacing w:before="60" w:after="180"/>
        <w:jc w:val="left"/>
        <w:rPr>
          <w:rFonts w:ascii="Times New Roman" w:hAnsi="Times New Roman"/>
          <w:color w:val="000000"/>
          <w:sz w:val="20"/>
        </w:rPr>
      </w:pPr>
      <w:r>
        <w:rPr>
          <w:rFonts w:ascii="Times New Roman" w:hAnsi="Times New Roman"/>
          <w:color w:val="000000"/>
          <w:sz w:val="20"/>
        </w:rPr>
        <w:t>To the Stockholders and the Board of Directors of Range Resources Corporation</w:t>
      </w:r>
    </w:p>
    <w:p>
      <w:pPr>
        <w:pStyle w:val="TextBody"/>
        <w:bidi w:val="0"/>
        <w:spacing w:before="0" w:after="180"/>
        <w:jc w:val="left"/>
        <w:rPr>
          <w:rFonts w:ascii="Times New Roman" w:hAnsi="Times New Roman"/>
          <w:sz w:val="20"/>
        </w:rPr>
      </w:pPr>
      <w:r>
        <w:rPr>
          <w:rFonts w:ascii="Times New Roman" w:hAnsi="Times New Roman"/>
          <w:b/>
          <w:color w:val="000000"/>
          <w:sz w:val="20"/>
        </w:rPr>
        <w:t>Opinion on the Financial Statements</w:t>
      </w:r>
      <w:r>
        <w:rPr>
          <w:rFonts w:ascii="Times New Roman" w:hAnsi="Times New Roman"/>
          <w:color w:val="000000"/>
          <w:sz w:val="20"/>
        </w:rPr>
        <w:t xml:space="preserve">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have audited the accompanying consolidated balance sheets of Range Resources Corporation (the Company) as of December 31, 2025 and 2024, the related consolidated statements of income, comprehensive income, stockholders'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February 24, 2026 expressed an unqualified opinion thereon. </w:t>
      </w:r>
    </w:p>
    <w:p>
      <w:pPr>
        <w:pStyle w:val="TextBody"/>
        <w:bidi w:val="0"/>
        <w:spacing w:before="20" w:after="180"/>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20" w:after="180"/>
        <w:jc w:val="left"/>
        <w:rPr>
          <w:rFonts w:ascii="Times New Roman" w:hAnsi="Times New Roman"/>
          <w:b/>
          <w:color w:val="000000"/>
          <w:sz w:val="20"/>
        </w:rPr>
      </w:pPr>
      <w:r>
        <w:rPr>
          <w:rFonts w:ascii="Times New Roman" w:hAnsi="Times New Roman"/>
          <w:b/>
          <w:color w:val="000000"/>
          <w:sz w:val="20"/>
        </w:rPr>
        <w:t>Critical Audit Matter</w:t>
      </w:r>
    </w:p>
    <w:p>
      <w:pPr>
        <w:pStyle w:val="TextBody"/>
        <w:bidi w:val="0"/>
        <w:jc w:val="left"/>
        <w:rPr>
          <w:rFonts w:ascii="Times New Roman" w:hAnsi="Times New Roman"/>
          <w:color w:val="000000"/>
          <w:sz w:val="20"/>
        </w:rPr>
      </w:pPr>
      <w:r>
        <w:rPr>
          <w:rFonts w:ascii="Times New Roman" w:hAnsi="Times New Roman"/>
          <w:color w:val="000000"/>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tbl>
      <w:tblPr>
        <w:tblW w:w="10205" w:type="dxa"/>
        <w:jc w:val="left"/>
        <w:tblInd w:w="0" w:type="dxa"/>
        <w:tblLayout w:type="fixed"/>
        <w:tblCellMar>
          <w:top w:w="28" w:type="dxa"/>
          <w:left w:w="28" w:type="dxa"/>
          <w:bottom w:w="28" w:type="dxa"/>
          <w:right w:w="28" w:type="dxa"/>
        </w:tblCellMar>
      </w:tblPr>
      <w:tblGrid>
        <w:gridCol w:w="1147"/>
        <w:gridCol w:w="9058"/>
      </w:tblGrid>
      <w:tr>
        <w:trPr/>
        <w:tc>
          <w:tcPr>
            <w:tcW w:w="1147" w:type="dxa"/>
            <w:tcBorders/>
            <w:vAlign w:val="center"/>
          </w:tcPr>
          <w:p>
            <w:pPr>
              <w:pStyle w:val="TableContents"/>
              <w:bidi w:val="0"/>
              <w:spacing w:before="0" w:after="283"/>
              <w:jc w:val="left"/>
              <w:rPr>
                <w:sz w:val="4"/>
                <w:szCs w:val="4"/>
              </w:rPr>
            </w:pPr>
            <w:r>
              <w:rPr>
                <w:sz w:val="4"/>
                <w:szCs w:val="4"/>
              </w:rPr>
            </w:r>
          </w:p>
        </w:tc>
        <w:tc>
          <w:tcPr>
            <w:tcW w:w="9058" w:type="dxa"/>
            <w:tcBorders/>
            <w:vAlign w:val="center"/>
          </w:tcPr>
          <w:p>
            <w:pPr>
              <w:pStyle w:val="TableContents"/>
              <w:bidi w:val="0"/>
              <w:spacing w:before="0" w:after="283"/>
              <w:jc w:val="left"/>
              <w:rPr>
                <w:sz w:val="4"/>
                <w:szCs w:val="4"/>
              </w:rPr>
            </w:pPr>
            <w:r>
              <w:rPr>
                <w:sz w:val="4"/>
                <w:szCs w:val="4"/>
              </w:rPr>
            </w:r>
          </w:p>
        </w:tc>
      </w:tr>
      <w:tr>
        <w:trPr/>
        <w:tc>
          <w:tcPr>
            <w:tcW w:w="1147" w:type="dxa"/>
            <w:tcBorders/>
            <w:tcMar>
              <w:top w:w="0" w:type="dxa"/>
              <w:left w:w="0" w:type="dxa"/>
              <w:bottom w:w="0" w:type="dxa"/>
              <w:right w:w="0" w:type="dxa"/>
            </w:tcMar>
            <w:vAlign w:val="center"/>
          </w:tcPr>
          <w:p>
            <w:pPr>
              <w:pStyle w:val="TableContents"/>
              <w:bidi w:val="0"/>
              <w:spacing w:before="0" w:after="240"/>
              <w:jc w:val="left"/>
              <w:rPr/>
            </w:pPr>
            <w:r>
              <w:rPr/>
              <w:t> </w:t>
            </w:r>
          </w:p>
          <w:p>
            <w:pPr>
              <w:pStyle w:val="TableContents"/>
              <w:bidi w:val="0"/>
              <w:spacing w:before="0" w:after="240"/>
              <w:jc w:val="left"/>
              <w:rPr>
                <w:rFonts w:ascii="Times New Roman" w:hAnsi="Times New Roman"/>
                <w:i/>
                <w:color w:val="000000"/>
                <w:sz w:val="20"/>
              </w:rPr>
            </w:pPr>
            <w:r>
              <w:rPr>
                <w:rFonts w:ascii="Times New Roman" w:hAnsi="Times New Roman"/>
                <w:i/>
                <w:color w:val="000000"/>
                <w:sz w:val="20"/>
              </w:rPr>
              <w:t>Description of the Matter</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c>
          <w:tcPr>
            <w:tcW w:w="9058"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0"/>
              </w:rPr>
            </w:pPr>
            <w:r>
              <w:rPr>
                <w:rFonts w:ascii="Times New Roman" w:hAnsi="Times New Roman"/>
                <w:b/>
                <w:i/>
                <w:color w:val="000000"/>
                <w:sz w:val="20"/>
              </w:rPr>
              <w:t>Depletion, depreciation, and amortization of proved natural gas, NGLs and oil properties</w:t>
            </w:r>
            <w:r>
              <w:rPr>
                <w:rFonts w:ascii="Times New Roman" w:hAnsi="Times New Roman"/>
                <w:color w:val="000000"/>
                <w:sz w:val="20"/>
              </w:rPr>
              <w:t xml:space="preserve"> </w:t>
            </w:r>
          </w:p>
          <w:p>
            <w:pPr>
              <w:pStyle w:val="TableContents"/>
              <w:bidi w:val="0"/>
              <w:spacing w:before="0" w:after="160"/>
              <w:jc w:val="left"/>
              <w:rPr>
                <w:rFonts w:ascii="Times New Roman" w:hAnsi="Times New Roman"/>
                <w:color w:val="000000"/>
                <w:sz w:val="20"/>
              </w:rPr>
            </w:pPr>
            <w:r>
              <w:rPr>
                <w:rFonts w:ascii="Times New Roman" w:hAnsi="Times New Roman"/>
                <w:color w:val="000000"/>
                <w:sz w:val="20"/>
              </w:rPr>
              <w:t xml:space="preserve">At December 31, 2025, the net book value of the Company’s proved natural gas, NGLs and oil properties totaled $5.9 billion and depletion, depreciation and amortization expense (“DD&amp;A”) was $370.5 million for the year then ended. As described in Note 2 to the consolidated financial statements, the Company follows the successful efforts method of accounting for its natural gas, NGLs and oil producing activities. Under this method, DD&amp;A for proved properties, including other property and equipment such as gathering lines related to natural gas, NGLs and oil producing activities, is provided using the units of production method based on proved natural gas, NGLs and oil reserves, as estimated by the Company’s petroleum engineering staff. Proved natural gas, NGLs and oil reserves are prepared using standard geological and engineering methods generally recognized in the petroleum industry based on evaluations of estimated in-place hydrocarbon volumes using financial and non-financial inputs. Judgment is required by the Company’s petroleum engineering staff in interpreting the data used to estimate reserves. Estimating proved natural gas, NGLs and oil reserves requires the selection and evaluation of inputs, including historical production, natural gas, NGLs and oil price assumptions, and future operating and capital cost assumptions, among others. Because of the complexity involved in estimating natural gas, NGLs and oil reserves, management used independent petroleum consultants to audit the proved reserve estimates prepared by the Company’s petroleum engineering staff as of December 31, 2025.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17"/>
        <w:gridCol w:w="8988"/>
      </w:tblGrid>
      <w:tr>
        <w:trPr/>
        <w:tc>
          <w:tcPr>
            <w:tcW w:w="1217" w:type="dxa"/>
            <w:tcBorders/>
            <w:vAlign w:val="center"/>
          </w:tcPr>
          <w:p>
            <w:pPr>
              <w:pStyle w:val="TableContents"/>
              <w:bidi w:val="0"/>
              <w:spacing w:before="0" w:after="283"/>
              <w:jc w:val="left"/>
              <w:rPr>
                <w:sz w:val="4"/>
                <w:szCs w:val="4"/>
              </w:rPr>
            </w:pPr>
            <w:r>
              <w:rPr>
                <w:sz w:val="4"/>
                <w:szCs w:val="4"/>
              </w:rPr>
            </w:r>
          </w:p>
        </w:tc>
        <w:tc>
          <w:tcPr>
            <w:tcW w:w="8988" w:type="dxa"/>
            <w:tcBorders/>
            <w:vAlign w:val="center"/>
          </w:tcPr>
          <w:p>
            <w:pPr>
              <w:pStyle w:val="TableContents"/>
              <w:bidi w:val="0"/>
              <w:spacing w:before="0" w:after="283"/>
              <w:jc w:val="left"/>
              <w:rPr>
                <w:sz w:val="4"/>
                <w:szCs w:val="4"/>
              </w:rPr>
            </w:pPr>
            <w:r>
              <w:rPr>
                <w:sz w:val="4"/>
                <w:szCs w:val="4"/>
              </w:rPr>
            </w:r>
          </w:p>
        </w:tc>
      </w:tr>
      <w:tr>
        <w:trPr/>
        <w:tc>
          <w:tcPr>
            <w:tcW w:w="1217" w:type="dxa"/>
            <w:tcBorders/>
            <w:tcMar>
              <w:top w:w="0" w:type="dxa"/>
              <w:left w:w="0" w:type="dxa"/>
              <w:bottom w:w="0" w:type="dxa"/>
              <w:right w:w="0" w:type="dxa"/>
            </w:tcMar>
            <w:vAlign w:val="center"/>
          </w:tcPr>
          <w:p>
            <w:pPr>
              <w:pStyle w:val="TableContents"/>
              <w:bidi w:val="0"/>
              <w:jc w:val="left"/>
              <w:rPr>
                <w:rFonts w:ascii="Times New Roman" w:hAnsi="Times New Roman"/>
                <w:i/>
                <w:color w:val="000000"/>
                <w:sz w:val="20"/>
              </w:rPr>
            </w:pPr>
            <w:r>
              <w:rPr>
                <w:rFonts w:ascii="Times New Roman" w:hAnsi="Times New Roman"/>
                <w:i/>
                <w:color w:val="000000"/>
                <w:sz w:val="20"/>
              </w:rPr>
              <w:t>How We Addressed the Matter in Our Audit</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c>
          <w:tcPr>
            <w:tcW w:w="8988" w:type="dxa"/>
            <w:tcBorders/>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0"/>
              </w:rPr>
            </w:pPr>
            <w:r>
              <w:rPr>
                <w:rFonts w:ascii="Times New Roman" w:hAnsi="Times New Roman"/>
                <w:color w:val="000000"/>
                <w:sz w:val="20"/>
              </w:rPr>
              <w:t>Auditing the Company’s DD&amp;A calculation is especially complex because of the use of the work of the Company’s petroleum engineering staff and the independent petroleum consultants and the evaluation of management’s determination of the inputs described above used by these engineers in estimating proved natural gas, NGLs and oil reserves.</w:t>
            </w:r>
          </w:p>
          <w:p>
            <w:pPr>
              <w:pStyle w:val="TableContents"/>
              <w:bidi w:val="0"/>
              <w:spacing w:before="0" w:after="160"/>
              <w:jc w:val="left"/>
              <w:rPr>
                <w:rFonts w:ascii="Times New Roman" w:hAnsi="Times New Roman"/>
                <w:color w:val="000000"/>
                <w:sz w:val="20"/>
              </w:rPr>
            </w:pPr>
            <w:r>
              <w:rPr>
                <w:rFonts w:ascii="Times New Roman" w:hAnsi="Times New Roman"/>
                <w:color w:val="000000"/>
                <w:sz w:val="20"/>
              </w:rPr>
              <w:t xml:space="preserve">We obtained an understanding, evaluated the design and tested the operating effectiveness of internal controls that address the risks of material misstatement relating to the DD&amp;A calculation, including controls over the completeness and accuracy of the financial and historical production data used in estimating proved natural gas, NGLs and oil reserves.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Our testing of the Company’s DD&amp;A calculation included, among other procedures, evaluating the professional qualifications and objectivity of both the individual primarily responsible for overseeing the preparation of the reserve estimates by the petroleum engineering staff and the independent petroleum consultants used to audit the estimates. In assessing whether we can use the work of the Company’s petroleum engineering staff, we evaluated the completeness and accuracy of the financial data, historical production and inputs described above used by the Company’s petroleum engineering staff in estimating proved oil and gas reserves by agreeing them to source documentation. In addition, we assessed the inputs for reasonableness based on our review of corroborative evidence and consideration of any contrary evidence. Finally, we tested that the DD&amp;A calculation is based on the appropriate proved natural gas, NGLs and oil reserve amounts from the Company’s reserve report.</w:t>
            </w:r>
          </w:p>
        </w:tc>
      </w:tr>
    </w:tbl>
    <w:p>
      <w:pPr>
        <w:pStyle w:val="TextBody"/>
        <w:bidi w:val="0"/>
        <w:spacing w:before="120" w:after="12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 Ernst &amp; Young LLP</w:t>
      </w:r>
    </w:p>
    <w:p>
      <w:pPr>
        <w:pStyle w:val="TextBody"/>
        <w:bidi w:val="0"/>
        <w:spacing w:before="60" w:after="180"/>
        <w:jc w:val="left"/>
        <w:rPr>
          <w:rFonts w:ascii="Times New Roman" w:hAnsi="Times New Roman"/>
          <w:color w:val="000000"/>
          <w:sz w:val="20"/>
        </w:rPr>
      </w:pPr>
      <w:r>
        <w:rPr>
          <w:rFonts w:ascii="Times New Roman" w:hAnsi="Times New Roman"/>
          <w:color w:val="000000"/>
          <w:sz w:val="20"/>
        </w:rPr>
        <w:t>We have served as the Company’s auditor since 2003.</w:t>
      </w:r>
    </w:p>
    <w:p>
      <w:pPr>
        <w:pStyle w:val="TextBody"/>
        <w:bidi w:val="0"/>
        <w:jc w:val="left"/>
        <w:rPr>
          <w:rFonts w:ascii="Times New Roman" w:hAnsi="Times New Roman"/>
          <w:color w:val="000000"/>
          <w:sz w:val="20"/>
        </w:rPr>
      </w:pPr>
      <w:r>
        <w:rPr>
          <w:rFonts w:ascii="Times New Roman" w:hAnsi="Times New Roman"/>
          <w:color w:val="000000"/>
          <w:sz w:val="20"/>
        </w:rPr>
        <w:t>Fort Worth, Texas</w:t>
      </w:r>
    </w:p>
    <w:p>
      <w:pPr>
        <w:pStyle w:val="TextBody"/>
        <w:bidi w:val="0"/>
        <w:jc w:val="left"/>
        <w:rPr>
          <w:rFonts w:ascii="Times New Roman" w:hAnsi="Times New Roman"/>
          <w:color w:val="000000"/>
          <w:sz w:val="20"/>
        </w:rPr>
      </w:pPr>
      <w:r>
        <w:rPr>
          <w:rFonts w:ascii="Times New Roman" w:hAnsi="Times New Roman"/>
          <w:color w:val="000000"/>
          <w:sz w:val="20"/>
        </w:rPr>
        <w:t>February 24, 2026</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RANGE RESOURCES CORPORATION</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3" w:name="consolidated_balance_sheets"/>
      <w:bookmarkEnd w:id="53"/>
      <w:r>
        <w:rPr>
          <w:rFonts w:ascii="Times New Roman" w:hAnsi="Times New Roman"/>
          <w:b/>
          <w:caps/>
          <w:color w:val="000000"/>
          <w:sz w:val="20"/>
        </w:rPr>
        <w:t>CONSOLIDATED BALANCE SHEETS</w:t>
      </w:r>
      <w:r>
        <w:rPr>
          <w:rFonts w:ascii="Times New Roman" w:hAnsi="Times New Roman"/>
          <w:caps/>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8"/>
        </w:rPr>
        <w:t>(In thousands, except share data)</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6777"/>
        <w:gridCol w:w="230"/>
        <w:gridCol w:w="1019"/>
        <w:gridCol w:w="166"/>
        <w:gridCol w:w="146"/>
        <w:gridCol w:w="220"/>
        <w:gridCol w:w="1034"/>
        <w:gridCol w:w="613"/>
      </w:tblGrid>
      <w:tr>
        <w:trPr/>
        <w:tc>
          <w:tcPr>
            <w:tcW w:w="677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67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December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December 31,</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2024</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Assets</w:t>
            </w:r>
          </w:p>
        </w:tc>
        <w:tc>
          <w:tcPr>
            <w:tcW w:w="1249"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Current assets:</w:t>
            </w:r>
          </w:p>
        </w:tc>
        <w:tc>
          <w:tcPr>
            <w:tcW w:w="124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7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Cash and cash equivalents</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304,490</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7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9"/>
              </w:rPr>
              <w:t>Accounts receivable, less allowance for doubtful accounts of $248</w:t>
            </w:r>
            <w:r>
              <w:rPr>
                <w:rFonts w:ascii="Times New Roman" w:hAnsi="Times New Roman"/>
                <w:color w:val="000000"/>
                <w:sz w:val="20"/>
              </w:rPr>
              <w:t> </w:t>
            </w:r>
            <w:r>
              <w:rPr>
                <w:rFonts w:ascii="Times New Roman" w:hAnsi="Times New Roman"/>
                <w:color w:val="000000"/>
                <w:sz w:val="19"/>
              </w:rPr>
              <w:t>and $255</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358,687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302,212</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7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Derivative assets</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53,645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84,479</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7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Prepaid assets</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9,930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12,722</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7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Other current assets</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22,014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17,558</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7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current assets</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444,480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721,461</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Derivative assets</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15,752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2,619</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Natural gas, NGLs and oil properties, net (successful efforts method)</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6,708,366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6,421,700</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Other property and equipment, net</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4,935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2,465</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Operating lease right-of-use assets</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173,477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119,838</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Other assets</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74,938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79,592</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7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9"/>
              </w:rPr>
            </w:pPr>
            <w:r>
              <w:rPr>
                <w:rFonts w:ascii="Times New Roman" w:hAnsi="Times New Roman"/>
                <w:b/>
                <w:color w:val="000000"/>
                <w:sz w:val="19"/>
              </w:rPr>
              <w:t>Total assets</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0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7,421,948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0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7,347,675</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7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2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Liabilities</w:t>
            </w:r>
          </w:p>
        </w:tc>
        <w:tc>
          <w:tcPr>
            <w:tcW w:w="124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Current liabilities:</w:t>
            </w:r>
          </w:p>
        </w:tc>
        <w:tc>
          <w:tcPr>
            <w:tcW w:w="124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7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Accounts payable</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164,352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133,132</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7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Asset retirement obligations</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1,189</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7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Accrued liabilities</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322,102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289,148</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7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Deferred compensation liabilities</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5,775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21,649</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7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Accrued interest</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31,934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36,920</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7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Derivative liabilities</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9,634</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7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Operating lease liabilities</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58,778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87,138</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7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Divestiture contract obligation</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75,842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86,991</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7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Current maturities of long-term debt</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608,269</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7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current liabilities</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661,152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1,274,070</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Bank debt, net of unamortized debt issuance costs</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106,700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Senior notes, net of unamortized debt issuance costs</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1,091,634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1,089,614</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Deferred tax liabilities</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701,601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541,378</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Derivative liabilities</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10,488</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Deferred compensation liabilities</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68,635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65,233</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Operating lease liabilities</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115,515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35,737</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Asset retirement obligations and other liabilities</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153,081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137,181</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Divestiture contract obligation</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202,586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257,317</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7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liabilities</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3,103,267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3,411,018</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Commitments and contingencies</w:t>
            </w:r>
          </w:p>
        </w:tc>
        <w:tc>
          <w:tcPr>
            <w:tcW w:w="124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Stockholders’ Equity</w:t>
            </w:r>
          </w:p>
        </w:tc>
        <w:tc>
          <w:tcPr>
            <w:tcW w:w="124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7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9"/>
              </w:rPr>
              <w:t>Preferred stock, $1</w:t>
            </w:r>
            <w:r>
              <w:rPr>
                <w:rFonts w:ascii="Times New Roman" w:hAnsi="Times New Roman"/>
                <w:color w:val="000000"/>
                <w:sz w:val="20"/>
              </w:rPr>
              <w:t> </w:t>
            </w:r>
            <w:r>
              <w:rPr>
                <w:rFonts w:ascii="Times New Roman" w:hAnsi="Times New Roman"/>
                <w:color w:val="000000"/>
                <w:sz w:val="19"/>
              </w:rPr>
              <w:t>par, 10,000,000</w:t>
            </w:r>
            <w:r>
              <w:rPr>
                <w:rFonts w:ascii="Times New Roman" w:hAnsi="Times New Roman"/>
                <w:color w:val="000000"/>
                <w:sz w:val="20"/>
              </w:rPr>
              <w:t> </w:t>
            </w:r>
            <w:r>
              <w:rPr>
                <w:rFonts w:ascii="Times New Roman" w:hAnsi="Times New Roman"/>
                <w:color w:val="000000"/>
                <w:sz w:val="19"/>
              </w:rPr>
              <w:t>shares authorized, none</w:t>
            </w:r>
            <w:r>
              <w:rPr>
                <w:rFonts w:ascii="Times New Roman" w:hAnsi="Times New Roman"/>
                <w:color w:val="000000"/>
                <w:sz w:val="20"/>
              </w:rPr>
              <w:t> </w:t>
            </w:r>
            <w:r>
              <w:rPr>
                <w:rFonts w:ascii="Times New Roman" w:hAnsi="Times New Roman"/>
                <w:color w:val="000000"/>
                <w:sz w:val="19"/>
              </w:rPr>
              <w:t>issued and outstanding</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7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9"/>
              </w:rPr>
              <w:t>Common stock, $0.01</w:t>
            </w:r>
            <w:r>
              <w:rPr>
                <w:rFonts w:ascii="Times New Roman" w:hAnsi="Times New Roman"/>
                <w:color w:val="000000"/>
                <w:sz w:val="20"/>
              </w:rPr>
              <w:t> </w:t>
            </w:r>
            <w:r>
              <w:rPr>
                <w:rFonts w:ascii="Times New Roman" w:hAnsi="Times New Roman"/>
                <w:color w:val="000000"/>
                <w:sz w:val="19"/>
              </w:rPr>
              <w:t>par, 475,000,000</w:t>
            </w:r>
            <w:r>
              <w:rPr>
                <w:rFonts w:ascii="Times New Roman" w:hAnsi="Times New Roman"/>
                <w:color w:val="000000"/>
                <w:sz w:val="20"/>
              </w:rPr>
              <w:t> </w:t>
            </w:r>
            <w:r>
              <w:rPr>
                <w:rFonts w:ascii="Times New Roman" w:hAnsi="Times New Roman"/>
                <w:color w:val="000000"/>
                <w:sz w:val="19"/>
              </w:rPr>
              <w:t>shares authorized, 268,573,212</w:t>
            </w:r>
            <w:r>
              <w:rPr>
                <w:rFonts w:ascii="Times New Roman" w:hAnsi="Times New Roman"/>
                <w:color w:val="000000"/>
                <w:sz w:val="20"/>
              </w:rPr>
              <w:t> </w:t>
            </w:r>
            <w:r>
              <w:rPr>
                <w:rFonts w:ascii="Times New Roman" w:hAnsi="Times New Roman"/>
                <w:color w:val="000000"/>
                <w:sz w:val="19"/>
              </w:rPr>
              <w:t xml:space="preserve">issued at </w:t>
              <w:br/>
              <w:t>   December 31, 2025 and 267,435,419</w:t>
            </w:r>
            <w:r>
              <w:rPr>
                <w:rFonts w:ascii="Times New Roman" w:hAnsi="Times New Roman"/>
                <w:color w:val="000000"/>
                <w:sz w:val="20"/>
              </w:rPr>
              <w:t> </w:t>
            </w:r>
            <w:r>
              <w:rPr>
                <w:rFonts w:ascii="Times New Roman" w:hAnsi="Times New Roman"/>
                <w:color w:val="000000"/>
                <w:sz w:val="19"/>
              </w:rPr>
              <w:t>shares at December 31, 2024</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2,674</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7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9"/>
              </w:rPr>
              <w:t>Common stock held in treasury, at cost, 33,115,000</w:t>
            </w:r>
            <w:r>
              <w:rPr>
                <w:rFonts w:ascii="Times New Roman" w:hAnsi="Times New Roman"/>
                <w:color w:val="000000"/>
                <w:sz w:val="20"/>
              </w:rPr>
              <w:t> </w:t>
            </w:r>
            <w:r>
              <w:rPr>
                <w:rFonts w:ascii="Times New Roman" w:hAnsi="Times New Roman"/>
                <w:color w:val="000000"/>
                <w:sz w:val="19"/>
              </w:rPr>
              <w:t xml:space="preserve">shares at December 31, 2025 and </w:t>
              <w:br/>
              <w:t>   26,766,065</w:t>
            </w:r>
            <w:r>
              <w:rPr>
                <w:rFonts w:ascii="Times New Roman" w:hAnsi="Times New Roman"/>
                <w:color w:val="000000"/>
                <w:sz w:val="20"/>
              </w:rPr>
              <w:t> </w:t>
            </w:r>
            <w:r>
              <w:rPr>
                <w:rFonts w:ascii="Times New Roman" w:hAnsi="Times New Roman"/>
                <w:color w:val="000000"/>
                <w:sz w:val="19"/>
              </w:rPr>
              <w:t>shares at December 31, 2024</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(746,486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(513,941</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677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Additional paid-in capital</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5,971,258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5,927,893</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7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Accumulated other comprehensive income</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611</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7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Retained deficit</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(909,201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(1,480,580</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677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stockholders' equity</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4,318,681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3,936,657</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7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9"/>
              </w:rPr>
            </w:pPr>
            <w:r>
              <w:rPr>
                <w:rFonts w:ascii="Times New Roman" w:hAnsi="Times New Roman"/>
                <w:b/>
                <w:color w:val="000000"/>
                <w:sz w:val="19"/>
              </w:rPr>
              <w:t>Total liabilities and stockholders’ equity</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0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7,421,948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0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7,347,675</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The accompanying notes are an integral part of these consolidated financial statements.</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RANGE RESOURCES CORPORATION</w:t>
      </w:r>
    </w:p>
    <w:p>
      <w:pPr>
        <w:pStyle w:val="TextBody"/>
        <w:bidi w:val="0"/>
        <w:jc w:val="center"/>
        <w:rPr>
          <w:rFonts w:ascii="Times New Roman" w:hAnsi="Times New Roman"/>
          <w:sz w:val="20"/>
        </w:rPr>
      </w:pPr>
      <w:bookmarkStart w:id="54" w:name="statements_of_income"/>
      <w:bookmarkEnd w:id="54"/>
      <w:r>
        <w:rPr>
          <w:rFonts w:ascii="Times New Roman" w:hAnsi="Times New Roman"/>
          <w:b/>
          <w:caps/>
          <w:color w:val="000000"/>
          <w:sz w:val="20"/>
        </w:rPr>
        <w:t>CONSOLIDATED STATEMENTS OF income</w:t>
      </w:r>
      <w:r>
        <w:rPr>
          <w:rFonts w:ascii="Times New Roman" w:hAnsi="Times New Roman"/>
          <w:caps/>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(In thousands, except per share data)</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t> </w:t>
      </w:r>
    </w:p>
    <w:tbl>
      <w:tblPr>
        <w:tblW w:w="9402" w:type="dxa"/>
        <w:jc w:val="left"/>
        <w:tblInd w:w="0" w:type="dxa"/>
        <w:tblLayout w:type="fixed"/>
        <w:tblCellMar>
          <w:top w:w="28" w:type="dxa"/>
          <w:left w:w="28" w:type="dxa"/>
          <w:bottom w:w="28" w:type="dxa"/>
          <w:right w:w="28" w:type="dxa"/>
        </w:tblCellMar>
      </w:tblPr>
      <w:tblGrid>
        <w:gridCol w:w="4761"/>
        <w:gridCol w:w="211"/>
        <w:gridCol w:w="931"/>
        <w:gridCol w:w="166"/>
        <w:gridCol w:w="146"/>
        <w:gridCol w:w="211"/>
        <w:gridCol w:w="931"/>
        <w:gridCol w:w="166"/>
        <w:gridCol w:w="146"/>
        <w:gridCol w:w="211"/>
        <w:gridCol w:w="931"/>
        <w:gridCol w:w="591"/>
      </w:tblGrid>
      <w:tr>
        <w:trPr/>
        <w:tc>
          <w:tcPr>
            <w:tcW w:w="47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7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5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Year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47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 and other income:</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Natural gas, NGLs and oil sales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2,815,591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2,213,850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2,334,661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Derivative fair value income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821,154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Brokered natural gas and marketing</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206,552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7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revenues and other income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3,115,515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2,417,084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3,374,872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Costs and expenses:</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Direct operating</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96,085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Transportation, gathering, processing and compression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1,223,324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1,177,925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1,113,941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Taxes other than income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23,726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Brokered natural gas and marketing</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185,554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202,884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Exploration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26,530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Abandonment and impairment of unproved properties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46,359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178,315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172,139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164,740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Exit costs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99,940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compensation plan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26,593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124,004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early extinguishment of debt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Depletion, depreciation and amortization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370,462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358,356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350,165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7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costs and expenses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2,283,825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2,166,479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2,274,529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7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before income taxes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831,690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250,605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1,100,343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164,272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227,654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173,666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229,201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658,024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266,340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871,142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per common share:</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common shares outstanding:</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237,943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240,689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236,986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239,789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242,745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239,837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The accompanying notes are an integral part of these consolidated financial statements.</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RANGE RESOURCES CORPORATION</w:t>
      </w:r>
      <w:r>
        <w:rPr>
          <w:rFonts w:ascii="Times New Roman" w:hAnsi="Times New Roman"/>
          <w:color w:val="000000"/>
          <w:sz w:val="20"/>
        </w:rPr>
        <w:t xml:space="preserve"> </w:t>
      </w:r>
    </w:p>
    <w:p>
      <w:pPr>
        <w:pStyle w:val="TextBody"/>
        <w:bidi w:val="0"/>
        <w:jc w:val="center"/>
        <w:rPr>
          <w:rFonts w:ascii="Times New Roman" w:hAnsi="Times New Roman"/>
          <w:b/>
          <w:caps/>
          <w:color w:val="000000"/>
          <w:sz w:val="20"/>
        </w:rPr>
      </w:pPr>
      <w:bookmarkStart w:id="55" w:name="consolidated_statements_comprehensive_lo"/>
      <w:bookmarkEnd w:id="55"/>
      <w:r>
        <w:rPr>
          <w:rFonts w:ascii="Times New Roman" w:hAnsi="Times New Roman"/>
          <w:b/>
          <w:caps/>
          <w:color w:val="000000"/>
          <w:sz w:val="20"/>
        </w:rPr>
        <w:t>CONSOLIDATED STATEMENTS OF COMPREHENSIVE income</w:t>
      </w:r>
    </w:p>
    <w:p>
      <w:pPr>
        <w:pStyle w:val="TextBody"/>
        <w:bidi w:val="0"/>
        <w:jc w:val="center"/>
        <w:rPr>
          <w:rFonts w:ascii="Times New Roman" w:hAnsi="Times New Roman"/>
          <w:sz w:val="20"/>
        </w:rPr>
      </w:pPr>
      <w:r>
        <w:rPr>
          <w:rFonts w:ascii="Times New Roman" w:hAnsi="Times New Roman"/>
          <w:b/>
          <w:color w:val="000000"/>
          <w:sz w:val="18"/>
        </w:rPr>
        <w:t>(In thousands)</w:t>
      </w:r>
      <w:r>
        <w:rPr>
          <w:rFonts w:ascii="Times New Roman" w:hAnsi="Times New Roman"/>
          <w:color w:val="000000"/>
          <w:sz w:val="20"/>
        </w:rPr>
        <w:t xml:space="preserve"> </w:t>
      </w:r>
    </w:p>
    <w:p>
      <w:pPr>
        <w:pStyle w:val="TextBody"/>
        <w:bidi w:val="0"/>
        <w:jc w:val="center"/>
        <w:rPr/>
      </w:pPr>
      <w:r>
        <w:rPr/>
        <w:t> </w:t>
      </w:r>
    </w:p>
    <w:tbl>
      <w:tblPr>
        <w:tblW w:w="8692" w:type="dxa"/>
        <w:jc w:val="left"/>
        <w:tblInd w:w="0" w:type="dxa"/>
        <w:tblLayout w:type="fixed"/>
        <w:tblCellMar>
          <w:top w:w="28" w:type="dxa"/>
          <w:left w:w="28" w:type="dxa"/>
          <w:bottom w:w="28" w:type="dxa"/>
          <w:right w:w="28" w:type="dxa"/>
        </w:tblCellMar>
      </w:tblPr>
      <w:tblGrid>
        <w:gridCol w:w="4481"/>
        <w:gridCol w:w="211"/>
        <w:gridCol w:w="781"/>
        <w:gridCol w:w="166"/>
        <w:gridCol w:w="146"/>
        <w:gridCol w:w="211"/>
        <w:gridCol w:w="781"/>
        <w:gridCol w:w="166"/>
        <w:gridCol w:w="146"/>
        <w:gridCol w:w="211"/>
        <w:gridCol w:w="781"/>
        <w:gridCol w:w="611"/>
      </w:tblGrid>
      <w:tr>
        <w:trPr/>
        <w:tc>
          <w:tcPr>
            <w:tcW w:w="4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44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60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44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44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658,024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266,340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871,142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Postretirement benefits:</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4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Actuarial (loss) gain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4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Prior service costs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4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 of prior service costs/actuarial gain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4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Income tax expense (benefit)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comprehensive income</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657,837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266,304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871,322</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The accompanying notes are an integral part of these consolidated financial statements.</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aps/>
          <w:color w:val="000000"/>
          <w:sz w:val="20"/>
        </w:rPr>
        <w:t>RANGE RESOURCES CORPORATION</w:t>
      </w:r>
      <w:r>
        <w:rPr>
          <w:rFonts w:ascii="Times New Roman" w:hAnsi="Times New Roman"/>
          <w:caps/>
          <w:color w:val="000000"/>
          <w:sz w:val="20"/>
        </w:rPr>
        <w:t xml:space="preserve"> </w:t>
      </w:r>
    </w:p>
    <w:p>
      <w:pPr>
        <w:pStyle w:val="TextBody"/>
        <w:bidi w:val="0"/>
        <w:jc w:val="center"/>
        <w:rPr>
          <w:rFonts w:ascii="Times New Roman" w:hAnsi="Times New Roman"/>
          <w:sz w:val="20"/>
        </w:rPr>
      </w:pPr>
      <w:bookmarkStart w:id="56" w:name="cash_flows"/>
      <w:bookmarkEnd w:id="56"/>
      <w:r>
        <w:rPr>
          <w:rFonts w:ascii="Times New Roman" w:hAnsi="Times New Roman"/>
          <w:b/>
          <w:caps/>
          <w:color w:val="000000"/>
          <w:sz w:val="20"/>
        </w:rPr>
        <w:t>CONSOLIDATED STATEMENTS OF CASH FLOWS</w:t>
      </w:r>
      <w:r>
        <w:rPr>
          <w:rFonts w:ascii="Times New Roman" w:hAnsi="Times New Roman"/>
          <w:caps/>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8"/>
        </w:rPr>
        <w:t>(In thousands)</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5464"/>
        <w:gridCol w:w="211"/>
        <w:gridCol w:w="991"/>
        <w:gridCol w:w="166"/>
        <w:gridCol w:w="146"/>
        <w:gridCol w:w="211"/>
        <w:gridCol w:w="841"/>
        <w:gridCol w:w="166"/>
        <w:gridCol w:w="146"/>
        <w:gridCol w:w="211"/>
        <w:gridCol w:w="841"/>
        <w:gridCol w:w="811"/>
      </w:tblGrid>
      <w:tr>
        <w:trPr/>
        <w:tc>
          <w:tcPr>
            <w:tcW w:w="54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546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93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54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658,024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266,340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871,142</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income to net cash provided from</w:t>
              <w:br/>
              <w:t>          operating activities:</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income tax expense (benefit)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164,272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227,654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Depletion, depreciation and amortization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370,462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358,356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350,165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Abandonment and impairment of unproved properties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46,359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Derivative fair value income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(821,154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4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settlements on derivative financial instruments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432,392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253,514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Divestiture contract obligation, including accretion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99,595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Allowance for bad debt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debt issuance costs and other</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and stock-based compensation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67,849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the sale of assets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4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early extinguishment of debt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4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working capital:</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46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receivable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223,081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46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current assets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46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(77,057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46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liabilities and other</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(265,814</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46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provided from operating activities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1,171,324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944,514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977,892</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Additions to natural gas, NGLs and oil properties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(581,489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(570,426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(571,819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4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Additions to field service assets and other</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4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Acreage purchases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(34,410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4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disposal of assets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marketable securities held by the deferred compensation plan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(45,168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4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the sales of marketable securities held by the deferred</w:t>
              <w:br/>
              <w:t>   compensation plan</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49,521</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46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used in investing activities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(641,393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(623,833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(601,705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Borrowings on credit facility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185,000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Repayments on credit facility</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(204,000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4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 of senior notes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(608,699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(60,934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4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Dividends paid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(77,241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4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Treasury stock purchases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(230,568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(19,042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4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Debt issuance costs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Taxes paid for shares withheld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(39,481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4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cash overdrafts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(23,923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4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Proceeds from the sales of common stock held by the deferred </w:t>
              <w:br/>
              <w:t>  compensation plan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75,201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46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used in financing activities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(834,217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(228,165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(164,420</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(Decrease) increase in cash and cash equivalents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(304,286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211,767</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at beginning of period</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304,490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211,974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at end of period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304,490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211,974</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The accompanying notes are an integral part of these consolidated financial statements.</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RANGE RESOURCES CORPORATION</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7" w:name="consolidated_statements_of_stockholders"/>
      <w:bookmarkEnd w:id="57"/>
      <w:r>
        <w:rPr>
          <w:rFonts w:ascii="Times New Roman" w:hAnsi="Times New Roman"/>
          <w:b/>
          <w:color w:val="000000"/>
          <w:sz w:val="20"/>
        </w:rPr>
        <w:t>CONSOLIDATED STATEMENTS OF STOCKHOLDERS’ EQUITY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8"/>
        </w:rPr>
        <w:t>(In thousands, except per share data)</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t> </w:t>
      </w:r>
    </w:p>
    <w:p>
      <w:pPr>
        <w:pStyle w:val="TextBody"/>
        <w:bidi w:val="0"/>
        <w:jc w:val="center"/>
        <w:rPr/>
      </w:pPr>
      <w:r>
        <w:rPr/>
        <w:t> </w:t>
      </w:r>
    </w:p>
    <w:tbl>
      <w:tblPr>
        <w:tblW w:w="11201" w:type="dxa"/>
        <w:jc w:val="left"/>
        <w:tblInd w:w="0" w:type="dxa"/>
        <w:tblLayout w:type="fixed"/>
        <w:tblCellMar>
          <w:top w:w="28" w:type="dxa"/>
          <w:left w:w="28" w:type="dxa"/>
          <w:bottom w:w="28" w:type="dxa"/>
          <w:right w:w="28" w:type="dxa"/>
        </w:tblCellMar>
      </w:tblPr>
      <w:tblGrid>
        <w:gridCol w:w="1271"/>
        <w:gridCol w:w="146"/>
        <w:gridCol w:w="691"/>
        <w:gridCol w:w="146"/>
        <w:gridCol w:w="146"/>
        <w:gridCol w:w="196"/>
        <w:gridCol w:w="511"/>
        <w:gridCol w:w="146"/>
        <w:gridCol w:w="146"/>
        <w:gridCol w:w="146"/>
        <w:gridCol w:w="661"/>
        <w:gridCol w:w="166"/>
        <w:gridCol w:w="146"/>
        <w:gridCol w:w="196"/>
        <w:gridCol w:w="751"/>
        <w:gridCol w:w="166"/>
        <w:gridCol w:w="146"/>
        <w:gridCol w:w="196"/>
        <w:gridCol w:w="826"/>
        <w:gridCol w:w="166"/>
        <w:gridCol w:w="146"/>
        <w:gridCol w:w="325"/>
        <w:gridCol w:w="726"/>
        <w:gridCol w:w="166"/>
        <w:gridCol w:w="146"/>
        <w:gridCol w:w="196"/>
        <w:gridCol w:w="886"/>
        <w:gridCol w:w="166"/>
        <w:gridCol w:w="146"/>
        <w:gridCol w:w="196"/>
        <w:gridCol w:w="826"/>
        <w:gridCol w:w="311"/>
      </w:tblGrid>
      <w:tr>
        <w:trPr/>
        <w:tc>
          <w:tcPr>
            <w:tcW w:w="1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held 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December 31, 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262,887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2,629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(24,002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(429,659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5,764,970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(2,462,401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2,876,006</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Issuance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78,050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78,079</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Issuance of common stock upon</w:t>
              <w:br/>
              <w:t>   vesting of PSUs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36,427</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6"/>
              </w:rPr>
              <w:t>Dividends ($0.32</w:t>
            </w:r>
            <w:r>
              <w:rPr>
                <w:rFonts w:ascii="Times New Roman" w:hAnsi="Times New Roman"/>
                <w:color w:val="000000"/>
                <w:sz w:val="20"/>
              </w:rPr>
              <w:t> </w:t>
            </w:r>
            <w:r>
              <w:rPr>
                <w:rFonts w:ascii="Times New Roman" w:hAnsi="Times New Roman"/>
                <w:color w:val="000000"/>
                <w:sz w:val="16"/>
              </w:rPr>
              <w:t>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(77,241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(77,241</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w:t>
            </w:r>
          </w:p>
        </w:tc>
      </w:tr>
      <w:tr>
        <w:trPr/>
        <w:tc>
          <w:tcPr>
            <w:tcW w:w="12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Treasury stock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Treasury stock repurchased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(19,042</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w:t>
            </w:r>
          </w:p>
        </w:tc>
      </w:tr>
      <w:tr>
        <w:trPr/>
        <w:tc>
          <w:tcPr>
            <w:tcW w:w="12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180</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871,142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871,142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265,756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2,658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(24,716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(448,681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5,879,705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(1,668,778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3,765,551</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Issuance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5,771</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Issuance of common stock upon</w:t>
              <w:br/>
              <w:t>   vesting of PSUs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42,072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42,072</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6"/>
              </w:rPr>
              <w:t>Dividends ($0.32</w:t>
            </w:r>
            <w:r>
              <w:rPr>
                <w:rFonts w:ascii="Times New Roman" w:hAnsi="Times New Roman"/>
                <w:color w:val="000000"/>
                <w:sz w:val="20"/>
              </w:rPr>
              <w:t> </w:t>
            </w:r>
            <w:r>
              <w:rPr>
                <w:rFonts w:ascii="Times New Roman" w:hAnsi="Times New Roman"/>
                <w:color w:val="000000"/>
                <w:sz w:val="16"/>
              </w:rPr>
              <w:t>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(77,781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(77,781</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w:t>
            </w:r>
          </w:p>
        </w:tc>
      </w:tr>
      <w:tr>
        <w:trPr/>
        <w:tc>
          <w:tcPr>
            <w:tcW w:w="12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Treasury stock repurchased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(65,260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(65,260</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w:t>
            </w:r>
          </w:p>
        </w:tc>
      </w:tr>
      <w:tr>
        <w:trPr/>
        <w:tc>
          <w:tcPr>
            <w:tcW w:w="12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(36</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w:t>
            </w:r>
          </w:p>
        </w:tc>
      </w:tr>
      <w:tr>
        <w:trPr/>
        <w:tc>
          <w:tcPr>
            <w:tcW w:w="12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266,340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266,340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267,435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2,674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(26,766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(513,941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5,927,893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(1,480,580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3,936,657</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Issuance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(2,762</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w:t>
            </w:r>
          </w:p>
        </w:tc>
      </w:tr>
      <w:tr>
        <w:trPr/>
        <w:tc>
          <w:tcPr>
            <w:tcW w:w="12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Issuance of common stock upon</w:t>
              <w:br/>
              <w:t>   vesting of PSUs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45,828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45,828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6"/>
              </w:rPr>
              <w:t>Dividends ($0.36</w:t>
            </w:r>
            <w:r>
              <w:rPr>
                <w:rFonts w:ascii="Times New Roman" w:hAnsi="Times New Roman"/>
                <w:color w:val="000000"/>
                <w:sz w:val="20"/>
              </w:rPr>
              <w:t> </w:t>
            </w:r>
            <w:r>
              <w:rPr>
                <w:rFonts w:ascii="Times New Roman" w:hAnsi="Times New Roman"/>
                <w:color w:val="000000"/>
                <w:sz w:val="16"/>
              </w:rPr>
              <w:t>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(86,295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(86,295</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w:t>
            </w:r>
          </w:p>
        </w:tc>
      </w:tr>
      <w:tr>
        <w:trPr/>
        <w:tc>
          <w:tcPr>
            <w:tcW w:w="12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Treasury stock issuance - Rabbi Trust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Treasury stock repurchased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(230,568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(230,568</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w:t>
            </w:r>
          </w:p>
        </w:tc>
      </w:tr>
      <w:tr>
        <w:trPr/>
        <w:tc>
          <w:tcPr>
            <w:tcW w:w="12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Excise tax on repurchased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(2,016</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w:t>
            </w:r>
          </w:p>
        </w:tc>
      </w:tr>
      <w:tr>
        <w:trPr/>
        <w:tc>
          <w:tcPr>
            <w:tcW w:w="12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(187</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w:t>
            </w:r>
          </w:p>
        </w:tc>
      </w:tr>
      <w:tr>
        <w:trPr/>
        <w:tc>
          <w:tcPr>
            <w:tcW w:w="12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658,024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658,024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December 31,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268,573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2,686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(33,115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(746,486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5,971,258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(909,201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4,318,681</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The accompanying notes are an integral part of these consolidated financial statements.</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RANGE RESOURCES CORPORATION</w:t>
      </w:r>
      <w:r>
        <w:rPr>
          <w:rFonts w:ascii="Times New Roman" w:hAnsi="Times New Roman"/>
          <w:color w:val="000000"/>
          <w:sz w:val="20"/>
        </w:rPr>
        <w:t xml:space="preserve"> </w:t>
      </w:r>
    </w:p>
    <w:p>
      <w:pPr>
        <w:pStyle w:val="TextBody"/>
        <w:bidi w:val="0"/>
        <w:spacing w:before="120" w:after="360"/>
        <w:jc w:val="center"/>
        <w:rPr>
          <w:rFonts w:ascii="Times New Roman" w:hAnsi="Times New Roman"/>
          <w:sz w:val="20"/>
        </w:rPr>
      </w:pPr>
      <w:bookmarkStart w:id="58" w:name="notes_to_consolidated_financial_state"/>
      <w:bookmarkEnd w:id="58"/>
      <w:r>
        <w:rPr>
          <w:rFonts w:ascii="Times New Roman" w:hAnsi="Times New Roman"/>
          <w:b/>
          <w:caps/>
          <w:color w:val="000000"/>
          <w:sz w:val="20"/>
        </w:rPr>
        <w:t>NOTES TO CONSOLIDATED FINANCIAL STATEMENTS</w:t>
      </w:r>
      <w:r>
        <w:rPr>
          <w:rFonts w:ascii="Times New Roman" w:hAnsi="Times New Roman"/>
          <w:caps/>
          <w:color w:val="000000"/>
          <w:sz w:val="20"/>
        </w:rPr>
        <w:t xml:space="preserve">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(1) SUMMARY OF ORGANIZATION AND NATURE OF BUSINESS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Range Resources Corporation ("Range," "we," "us," or "our") is a Fort Worth, Texas-based independent natural gas, natural gas liquids ("NGLs") and oil company engaged in the exploration, development and acquisition of natural gas, NGLs and oil properties in the Appalachian region of the United States. Our objective is to build stockholder value through returns-focused development of such properties. Range is a Delaware corporation with our common stock listed and traded on the New York Stock Exchange under the symbol "RRC." </w:t>
      </w:r>
    </w:p>
    <w:p>
      <w:pPr>
        <w:pStyle w:val="TextBody"/>
        <w:bidi w:val="0"/>
        <w:spacing w:before="0" w:after="180"/>
        <w:jc w:val="left"/>
        <w:rPr>
          <w:rFonts w:ascii="Times New Roman" w:hAnsi="Times New Roman"/>
          <w:b/>
          <w:color w:val="000000"/>
          <w:sz w:val="20"/>
        </w:rPr>
      </w:pPr>
      <w:bookmarkStart w:id="59" w:name="note_2"/>
      <w:bookmarkEnd w:id="59"/>
      <w:r>
        <w:rPr>
          <w:rFonts w:ascii="Times New Roman" w:hAnsi="Times New Roman"/>
          <w:b/>
          <w:color w:val="000000"/>
          <w:sz w:val="20"/>
        </w:rPr>
        <w:t>(2) SUMMARY OF SIGNIFICANT ACCOUNTING POLICIES</w:t>
      </w:r>
    </w:p>
    <w:p>
      <w:pPr>
        <w:pStyle w:val="TextBody"/>
        <w:bidi w:val="0"/>
        <w:spacing w:before="0" w:after="180"/>
        <w:jc w:val="left"/>
        <w:rPr>
          <w:rFonts w:ascii="Times New Roman" w:hAnsi="Times New Roman"/>
          <w:sz w:val="20"/>
        </w:rPr>
      </w:pPr>
      <w:r>
        <w:rPr>
          <w:rFonts w:ascii="Times New Roman" w:hAnsi="Times New Roman"/>
          <w:b/>
          <w:color w:val="000000"/>
          <w:sz w:val="20"/>
        </w:rPr>
        <w:t>Basis of Presentation and Principles of Consolidation</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accompanying consolidated financial statements, including the notes, have been prepared in accordance with generally accepted accounting principles ("U.S. GAAP") and include the accounts of all of our subsidiaries. All material intercompany balances and transactions have been eliminated. Certain reclassifications have been made to prior period amounts to conform to the current period's presentation. These reclassifications have no impact on previously reported stockholders' equity, net income or cash flows.</w:t>
      </w:r>
    </w:p>
    <w:p>
      <w:pPr>
        <w:pStyle w:val="TextBody"/>
        <w:bidi w:val="0"/>
        <w:spacing w:before="0" w:after="180"/>
        <w:jc w:val="left"/>
        <w:rPr>
          <w:rFonts w:ascii="Times New Roman" w:hAnsi="Times New Roman"/>
          <w:sz w:val="20"/>
        </w:rPr>
      </w:pPr>
      <w:r>
        <w:rPr>
          <w:rFonts w:ascii="Times New Roman" w:hAnsi="Times New Roman"/>
          <w:b/>
          <w:color w:val="000000"/>
          <w:sz w:val="20"/>
        </w:rPr>
        <w:t>Use of Estimates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preparation of financial statements in accordance with U.S. GAAP requires us to make estimates and assumptions that affect the reported amounts of assets and liabilities, the disclosure of contingent assets and liabilities as of the date of the consolidated financial statements and the reported amounts of revenues and expenses during the reporting periods. </w:t>
      </w:r>
    </w:p>
    <w:p>
      <w:pPr>
        <w:pStyle w:val="TextBody"/>
        <w:bidi w:val="0"/>
        <w:spacing w:before="0" w:after="180"/>
        <w:jc w:val="left"/>
        <w:rPr/>
      </w:pPr>
      <w:r>
        <w:rPr>
          <w:rFonts w:ascii="Times New Roman" w:hAnsi="Times New Roman"/>
          <w:color w:val="000000"/>
          <w:sz w:val="20"/>
        </w:rPr>
        <w:t xml:space="preserve">Estimated quantities of natural gas, NGLs and oil reserves is a significant estimate that requires judgment. All of the reserves data included in this Form 10-K are estimates. Reservoir engineering is a subjective process of estimating underground accumulations of natural gas, NGLs and oil. There are numerous uncertainties inherent in estimating quantities of proved natural gas, NGLs and oil reserves. The accuracy of any reserves estimate is a function of the quality of available data and of engineering and geological interpretation and judgment. As a result, reserves estimates may be different from the quantities of natural gas, NGLs and oil that are ultimately recovered. See </w:t>
      </w:r>
      <w:hyperlink w:anchor="note_16">
        <w:r>
          <w:rPr>
            <w:rStyle w:val="InternetLink"/>
            <w:rFonts w:ascii="Times New Roman" w:hAnsi="Times New Roman"/>
            <w:color w:val="0000FF"/>
            <w:sz w:val="20"/>
            <w:u w:val="single"/>
          </w:rPr>
          <w:t>Note 16</w:t>
        </w:r>
      </w:hyperlink>
      <w:r>
        <w:rPr>
          <w:rFonts w:ascii="Times New Roman" w:hAnsi="Times New Roman"/>
          <w:color w:val="000000"/>
          <w:sz w:val="20"/>
        </w:rPr>
        <w:t xml:space="preserve"> for further detail.</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Other items subject to estimates and assumptions include the carrying amounts of property, plant and equipment, valuation of certain derivative instruments, exit cost liabilities, asset retirement obligation costs and valuation allowances for deferred income tax assets, among others. Although we believe these estimates are reasonable, actual results could differ from these estimates.</w:t>
      </w:r>
    </w:p>
    <w:p>
      <w:pPr>
        <w:pStyle w:val="TextBody"/>
        <w:bidi w:val="0"/>
        <w:spacing w:before="0" w:after="180"/>
        <w:jc w:val="left"/>
        <w:rPr>
          <w:rFonts w:ascii="Times New Roman" w:hAnsi="Times New Roman"/>
          <w:sz w:val="20"/>
        </w:rPr>
      </w:pPr>
      <w:r>
        <w:rPr>
          <w:rFonts w:ascii="Times New Roman" w:hAnsi="Times New Roman"/>
          <w:b/>
          <w:color w:val="000000"/>
          <w:sz w:val="20"/>
        </w:rPr>
        <w:t>Business Segment Information</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We have evaluated how we are organized and managed and have identified only one operating segment. We consider our gathering, processing and marketing functions as integral to our natural gas, NGLs and oil producing activities. We have a single company-wide management team that administers all properties as a whole rather than by discrete operating segments. Our Chief Executive Officer is the Chief Operating Decision Maker ("CODM"). We measure financial performance as a single enterprise and not on an area-by-area basis. Our exploration and production operations are limited to onshore United States and all of our sales transfer title and control in the onshore United States. Income before income taxes as presented in the consolidated statements of income is the primary measure of segment profit and loss used by the CODM in assessing business performance and making capital allocation decisions by comparing actual amounts to historical results and previously forecasted financial information.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Revenue Recognition and Accounts Receivable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Natural gas, NGLs and oil sales revenues are recognized when control of the product is transferred to the customer and collectability is reasonably assured. All of the Company's revenues from contracts with customers have title transfer in the U.S. See below for a more detailed summary of our product types.</w:t>
      </w:r>
    </w:p>
    <w:p>
      <w:pPr>
        <w:pStyle w:val="TextBody"/>
        <w:bidi w:val="0"/>
        <w:spacing w:before="0" w:after="180"/>
        <w:jc w:val="left"/>
        <w:rPr>
          <w:rFonts w:ascii="Times New Roman" w:hAnsi="Times New Roman"/>
          <w:sz w:val="20"/>
        </w:rPr>
      </w:pPr>
      <w:r>
        <w:rPr>
          <w:rFonts w:ascii="Times New Roman" w:hAnsi="Times New Roman"/>
          <w:i/>
          <w:color w:val="000000"/>
          <w:sz w:val="20"/>
        </w:rPr>
        <w:t xml:space="preserve">Natural Gas and NGLs Sales. </w:t>
      </w:r>
      <w:r>
        <w:rPr>
          <w:rFonts w:ascii="Times New Roman" w:hAnsi="Times New Roman"/>
          <w:color w:val="000000"/>
          <w:sz w:val="20"/>
        </w:rPr>
        <w:t>Under some of our gas processing contracts, we deliver natural gas to a midstream processing entity for processing. The midstream processing entity processes the natural gas and remits proceeds to us for the resulting sales of NGLs and residue gas. In these scenarios, we evaluate whether we are the principal or the agent in the transaction. For those contracts that we have concluded that we are the principal, the ultimate third party is our customer, and we recognize revenue on a gross basis, with gathering, compression, processing and transportation fees presented as an expense. Alternatively, for those contracts that we have concluded that we are the agent, the midstream processing entity is our customer, and we recognize revenue based on the net amount of the proceeds received from the midstream processing entity.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In other natural gas processing agreements, we may elect to take our residue gas and/or NGLs in kind at the tailgate of the midstream entity’s processing plant and subsequently market the product on our own. Through the marketing process, we deliver product to the ultimate third-party purchaser at a contractually agreed-upon delivery point and receive a specified index-driven price from the purchaser. In this scenario, we recognize revenue when control transfers to the purchaser at the delivery point based on the index-driven price received from the purchaser. The gathering, processing and compression fees attributable to the gas processing contract, as well as any transportation fees incurred to deliver the product to the purchaser, are presented as transportation, gathering, processing and compression expense.</w:t>
      </w:r>
    </w:p>
    <w:p>
      <w:pPr>
        <w:pStyle w:val="TextBody"/>
        <w:bidi w:val="0"/>
        <w:spacing w:before="0" w:after="180"/>
        <w:jc w:val="left"/>
        <w:rPr>
          <w:rFonts w:ascii="Times New Roman" w:hAnsi="Times New Roman"/>
          <w:sz w:val="20"/>
        </w:rPr>
      </w:pPr>
      <w:r>
        <w:rPr>
          <w:rFonts w:ascii="Times New Roman" w:hAnsi="Times New Roman"/>
          <w:i/>
          <w:color w:val="000000"/>
          <w:sz w:val="20"/>
        </w:rPr>
        <w:t xml:space="preserve">Oil Sales. </w:t>
      </w:r>
      <w:r>
        <w:rPr>
          <w:rFonts w:ascii="Times New Roman" w:hAnsi="Times New Roman"/>
          <w:color w:val="000000"/>
          <w:sz w:val="20"/>
        </w:rPr>
        <w:t>Our oil sales contracts are generally structured in one of the following ways: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sell oil production at the wellhead and collect an agreed-upon index-driven price, net of transportation incurred by the purchaser (that is, a netback arrangement). In this scenario, we recognize revenue when control transfers to the purchaser at the wellhead at the net price received.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deliver oil to the purchaser at a contractually agreed-upon delivery point at which the purchaser takes custody, title, and risk of loss of the product. Under this arrangement, we pay a third party to transport the product and receive a specified index-driven price from the purchaser with no deduction. In this scenario, we recognize revenue when control transfers to the purchaser at the delivery point based on the price received from the purchaser. The third-party costs are recorded as transportation, gathering, processing and compression expense.</w:t>
      </w:r>
    </w:p>
    <w:p>
      <w:pPr>
        <w:pStyle w:val="TextBody"/>
        <w:bidi w:val="0"/>
        <w:spacing w:before="60" w:after="180"/>
        <w:jc w:val="left"/>
        <w:rPr>
          <w:rFonts w:ascii="Times New Roman" w:hAnsi="Times New Roman"/>
          <w:sz w:val="20"/>
        </w:rPr>
      </w:pPr>
      <w:r>
        <w:rPr>
          <w:rFonts w:ascii="Times New Roman" w:hAnsi="Times New Roman"/>
          <w:i/>
          <w:color w:val="000000"/>
          <w:sz w:val="20"/>
        </w:rPr>
        <w:t xml:space="preserve">Brokered Natural Gas and Marketing. </w:t>
      </w:r>
      <w:r>
        <w:rPr>
          <w:rFonts w:ascii="Times New Roman" w:hAnsi="Times New Roman"/>
          <w:color w:val="000000"/>
          <w:sz w:val="20"/>
        </w:rPr>
        <w:t xml:space="preserve">We realize brokered margins as a result of buying natural gas or NGLs utilizing separate purchase transactions, generally with separate counterparties, and subsequently selling that natural gas or NGLs under our existing contracts to fill our contract commitments or use existing infrastructure contracts to economically utilize available capacity. In these arrangements, we take control of the natural gas or NGLs purchased prior to delivery under our existing gas contracts with a separate counterparty. Revenues and expenses related to brokering natural gas or NGLs are reported gross as part of revenues and expenses in accordance with applicable accounting standards. Proceeds generated from the sale of excess firm transportation to third parties is also included here when we are determined to no longer be the primary obligor of such arrangement. Our net brokered margin was a loss of $13.0 million in 2025 compared to a loss of $7.5 million in 2024 and income of $3.7 million in 2023.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recognition of gains or losses on derivative instruments is not considered revenue from contracts with customers. We may use financial or physical contracts accounted for as derivatives as economic hedges to manage price risk associated with normal sales or in limited cases may use them for contracts we intend to physically settle but that do not meet all of the criteria to be treated as normal sales.</w:t>
      </w:r>
    </w:p>
    <w:p>
      <w:pPr>
        <w:pStyle w:val="TextBody"/>
        <w:bidi w:val="0"/>
        <w:spacing w:before="0" w:after="180"/>
        <w:jc w:val="left"/>
        <w:rPr>
          <w:rFonts w:ascii="Times New Roman" w:hAnsi="Times New Roman"/>
          <w:sz w:val="20"/>
        </w:rPr>
      </w:pPr>
      <w:r>
        <w:rPr>
          <w:rFonts w:ascii="Times New Roman" w:hAnsi="Times New Roman"/>
          <w:i/>
          <w:color w:val="000000"/>
          <w:sz w:val="20"/>
        </w:rPr>
        <w:t xml:space="preserve">Accounts Receivable. </w:t>
      </w:r>
      <w:r>
        <w:rPr>
          <w:rFonts w:ascii="Times New Roman" w:hAnsi="Times New Roman"/>
          <w:color w:val="000000"/>
          <w:sz w:val="20"/>
        </w:rPr>
        <w:t xml:space="preserve">Our accounts receivable consist mainly of receivables from oil and gas purchasers and joint interest owners on properties we operate. Although receivables are concentrated in the oil and gas industry, we do not view this as an unusual credit risk. However, this concentration has the potential to impact our overall exposure to credit risk in that our customers may be similarly affected by changes in economic and financial conditions, commodity prices or other conditions. Each reporting period, we assess the recoverability of material receivables using historical data and current market conditions. The loss given default method is used when, based on management’s judgment, an allowance for expected credit losses is accrued on material receivables to reflect the net amount to be collected. In certain instances, we require purchasers to post stand-by letters of credit. For receivables from joint interest owners, we may have the ability to withhold future revenue disbursements to recover any non-payment of joint interest billings. We regularly review collectability and establish or adjust our allowance as necessary. We have allowances for doubtful accounts relating to exploration and production receivables of $248,000 at December 31, 2025 compared to $255,000 at December 31, 2024. We recorded no bad debt expense in the year ended December 31, 2025, $50,000 bad debt expense in the year ended December 31, 2024 and no bad debt expense in the year ended December 31, 2023. Bad debt expense is recorded within general and administrative expense in the consolidated statements of income. </w:t>
      </w:r>
    </w:p>
    <w:p>
      <w:pPr>
        <w:pStyle w:val="TextBody"/>
        <w:bidi w:val="0"/>
        <w:spacing w:before="0" w:after="180"/>
        <w:jc w:val="left"/>
        <w:rPr>
          <w:rFonts w:ascii="Times New Roman" w:hAnsi="Times New Roman"/>
          <w:sz w:val="20"/>
        </w:rPr>
      </w:pPr>
      <w:r>
        <w:rPr>
          <w:rFonts w:ascii="Times New Roman" w:hAnsi="Times New Roman"/>
          <w:b/>
          <w:color w:val="000000"/>
          <w:sz w:val="20"/>
        </w:rPr>
        <w:t>Cash and Cash Equivalents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Cash and cash equivalents include cash on hand and on deposit and investments in highly liquid debt instruments with maturities of three months or less. Outstanding checks in excess of funds on deposit are included in accounts payable on the consolidated balance sheets and the change in such overdrafts is classified as a financing activity on the consolidated statements of cash flows. Interest earned on cash equivalents is included in other income. </w:t>
      </w:r>
    </w:p>
    <w:p>
      <w:pPr>
        <w:pStyle w:val="TextBody"/>
        <w:bidi w:val="0"/>
        <w:spacing w:before="0" w:after="180"/>
        <w:jc w:val="left"/>
        <w:rPr>
          <w:rFonts w:ascii="Times New Roman" w:hAnsi="Times New Roman"/>
          <w:sz w:val="20"/>
        </w:rPr>
      </w:pPr>
      <w:r>
        <w:rPr>
          <w:rFonts w:ascii="Times New Roman" w:hAnsi="Times New Roman"/>
          <w:b/>
          <w:color w:val="000000"/>
          <w:sz w:val="20"/>
        </w:rPr>
        <w:t>Natural Gas, NGLs and Oil Properties</w:t>
      </w:r>
      <w:r>
        <w:rPr>
          <w:rFonts w:ascii="Times New Roman" w:hAnsi="Times New Roman"/>
          <w:color w:val="000000"/>
          <w:sz w:val="20"/>
        </w:rPr>
        <w:t xml:space="preserve"> </w:t>
      </w:r>
    </w:p>
    <w:p>
      <w:pPr>
        <w:pStyle w:val="TextBody"/>
        <w:bidi w:val="0"/>
        <w:spacing w:before="0" w:after="180"/>
        <w:jc w:val="left"/>
        <w:rPr>
          <w:rFonts w:ascii="Times New Roman" w:hAnsi="Times New Roman"/>
          <w:sz w:val="20"/>
        </w:rPr>
      </w:pPr>
      <w:r>
        <w:rPr>
          <w:rFonts w:ascii="Times New Roman" w:hAnsi="Times New Roman"/>
          <w:i/>
          <w:color w:val="000000"/>
          <w:sz w:val="20"/>
        </w:rPr>
        <w:t>Property Acquisition Costs</w:t>
      </w:r>
      <w:r>
        <w:rPr>
          <w:rFonts w:ascii="Times New Roman" w:hAnsi="Times New Roman"/>
          <w:color w:val="000000"/>
          <w:sz w:val="20"/>
        </w:rPr>
        <w:t xml:space="preserve">. We use the successful efforts method of accounting for natural gas, NGLs and oil producing activities. Costs to acquire mineral interests in natural gas, NGLs and oil properties, to drill exploratory wells that find proved reserves and to drill development wells are capitalized. Costs to drill exploratory wells that do not find proved reserves, geological and geophysical costs, delay rentals and costs of carrying and retaining unproved properties are expensed. Costs incurred for exploratory wells that find reserves that cannot yet be classified as proved are capitalized if (a) the well has found a sufficient quantity of reserves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to justify its completion as a producing well and (b) we are making sufficient progress assessing the reserves and the economic and operating viability of the project. </w:t>
      </w:r>
    </w:p>
    <w:p>
      <w:pPr>
        <w:pStyle w:val="TextBody"/>
        <w:bidi w:val="0"/>
        <w:spacing w:before="0" w:after="180"/>
        <w:jc w:val="left"/>
        <w:rPr>
          <w:rFonts w:ascii="Times New Roman" w:hAnsi="Times New Roman"/>
          <w:sz w:val="20"/>
        </w:rPr>
      </w:pPr>
      <w:r>
        <w:rPr>
          <w:rFonts w:ascii="Times New Roman" w:hAnsi="Times New Roman"/>
          <w:i/>
          <w:color w:val="000000"/>
          <w:sz w:val="20"/>
        </w:rPr>
        <w:t>Depreciation, Depletion and Amortization</w:t>
      </w:r>
      <w:r>
        <w:rPr>
          <w:rFonts w:ascii="Times New Roman" w:hAnsi="Times New Roman"/>
          <w:color w:val="000000"/>
          <w:sz w:val="20"/>
        </w:rPr>
        <w:t xml:space="preserve">. Depreciation, depletion and amortization of proved properties, including related property and equipment such as gathering lines related to natural gas, NGLs and oil producing activities, is provided on the units of production method. Historically, we have adjusted our depletion rates in the fourth quarter of each year based on the year-end reserve report and at other times during the year when circumstances indicate there has been a significant change in reserves or costs. We have recorded depreciation, depletion and amortization related to proved properties of $361.2 million in the year ended December 31, 2025 compared to $349.8 million in 2024 and $342.3 million in 2023. </w:t>
      </w:r>
    </w:p>
    <w:p>
      <w:pPr>
        <w:pStyle w:val="TextBody"/>
        <w:bidi w:val="0"/>
        <w:spacing w:before="60" w:after="283"/>
        <w:jc w:val="left"/>
        <w:rPr/>
      </w:pPr>
      <w:r>
        <w:rPr/>
        <w:t> </w:t>
      </w:r>
    </w:p>
    <w:tbl>
      <w:tblPr>
        <w:tblW w:w="10205" w:type="dxa"/>
        <w:jc w:val="left"/>
        <w:tblInd w:w="0" w:type="dxa"/>
        <w:tblLayout w:type="fixed"/>
        <w:tblCellMar>
          <w:top w:w="28" w:type="dxa"/>
          <w:left w:w="28" w:type="dxa"/>
          <w:bottom w:w="28" w:type="dxa"/>
          <w:right w:w="28" w:type="dxa"/>
        </w:tblCellMar>
      </w:tblPr>
      <w:tblGrid>
        <w:gridCol w:w="5229"/>
        <w:gridCol w:w="211"/>
        <w:gridCol w:w="1036"/>
        <w:gridCol w:w="166"/>
        <w:gridCol w:w="146"/>
        <w:gridCol w:w="211"/>
        <w:gridCol w:w="1036"/>
        <w:gridCol w:w="166"/>
        <w:gridCol w:w="146"/>
        <w:gridCol w:w="211"/>
        <w:gridCol w:w="1036"/>
        <w:gridCol w:w="611"/>
      </w:tblGrid>
      <w:tr>
        <w:trPr/>
        <w:tc>
          <w:tcPr>
            <w:tcW w:w="52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2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365" w:type="dxa"/>
            <w:gridSpan w:val="10"/>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 thousands)</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Natural gas, NGLs and oil properties: </w:t>
            </w:r>
            <w:r>
              <w:rPr>
                <w:rFonts w:ascii="Times New Roman" w:hAnsi="Times New Roman"/>
                <w:b/>
                <w:color w:val="000000"/>
                <w:sz w:val="13"/>
              </w:rPr>
              <w:t>(a)</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Properties subject to depreciation, depletion and amortization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11,635,187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11,058,771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10,435,611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Unproved properties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832,757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819,656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789,871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22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12,467,944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11,878,427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11,225,482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depreciation, depletion and amortization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(5,759,578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(5,456,727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(5,107,801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22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capitalized costs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6,708,366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6,421,700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6,117,681</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542" w:type="dxa"/>
        <w:jc w:val="left"/>
        <w:tblInd w:w="0" w:type="dxa"/>
        <w:tblLayout w:type="fixed"/>
        <w:tblCellMar>
          <w:top w:w="28" w:type="dxa"/>
          <w:left w:w="28" w:type="dxa"/>
          <w:bottom w:w="28" w:type="dxa"/>
          <w:right w:w="28" w:type="dxa"/>
        </w:tblCellMar>
      </w:tblPr>
      <w:tblGrid>
        <w:gridCol w:w="271"/>
        <w:gridCol w:w="6271"/>
      </w:tblGrid>
      <w:tr>
        <w:trPr/>
        <w:tc>
          <w:tcPr>
            <w:tcW w:w="271" w:type="dxa"/>
            <w:tcBorders/>
            <w:vAlign w:val="center"/>
          </w:tcPr>
          <w:p>
            <w:pPr>
              <w:pStyle w:val="TableContents"/>
              <w:bidi w:val="0"/>
              <w:spacing w:before="0" w:after="283"/>
              <w:jc w:val="left"/>
              <w:rPr>
                <w:sz w:val="4"/>
                <w:szCs w:val="4"/>
              </w:rPr>
            </w:pPr>
            <w:r>
              <w:rPr>
                <w:sz w:val="4"/>
                <w:szCs w:val="4"/>
              </w:rPr>
            </w:r>
          </w:p>
        </w:tc>
        <w:tc>
          <w:tcPr>
            <w:tcW w:w="6271" w:type="dxa"/>
            <w:tcBorders/>
            <w:vAlign w:val="center"/>
          </w:tcPr>
          <w:p>
            <w:pPr>
              <w:pStyle w:val="TableContents"/>
              <w:bidi w:val="0"/>
              <w:spacing w:before="0" w:after="283"/>
              <w:jc w:val="left"/>
              <w:rPr>
                <w:sz w:val="4"/>
                <w:szCs w:val="4"/>
              </w:rPr>
            </w:pPr>
            <w:r>
              <w:rPr>
                <w:sz w:val="4"/>
                <w:szCs w:val="4"/>
              </w:rPr>
            </w:r>
          </w:p>
        </w:tc>
      </w:tr>
      <w:tr>
        <w:trPr/>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w:t>
            </w:r>
          </w:p>
        </w:tc>
        <w:tc>
          <w:tcPr>
            <w:tcW w:w="6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Includes capitalized asset retirement costs and the associated accumulated amortization.</w:t>
            </w:r>
          </w:p>
        </w:tc>
      </w:tr>
    </w:tbl>
    <w:p>
      <w:pPr>
        <w:pStyle w:val="TextBody"/>
        <w:bidi w:val="0"/>
        <w:spacing w:before="360" w:after="180"/>
        <w:jc w:val="left"/>
        <w:rPr>
          <w:rFonts w:ascii="Times New Roman" w:hAnsi="Times New Roman"/>
          <w:sz w:val="20"/>
        </w:rPr>
      </w:pPr>
      <w:r>
        <w:rPr>
          <w:rFonts w:ascii="Times New Roman" w:hAnsi="Times New Roman"/>
          <w:i/>
          <w:color w:val="000000"/>
          <w:sz w:val="20"/>
        </w:rPr>
        <w:t>Impairments</w:t>
      </w:r>
      <w:r>
        <w:rPr>
          <w:rFonts w:ascii="Times New Roman" w:hAnsi="Times New Roman"/>
          <w:color w:val="000000"/>
          <w:sz w:val="20"/>
        </w:rPr>
        <w:t>. Our proved natural gas, NGLs and oil properties are reviewed for impairment of value whenever events or changes in circumstances indicate the carrying value of an asset may not be recoverable. If the sum of the expected undiscounted future cash flows from the use of the asset and its eventual disposition is less than the carrying value of the asset, an impairment loss is recognized based on the fair value of the asset. These assets are reviewed for potential impairment at the lowest level for which there are identifiable cash flows that are largely independent of other groups of assets which is the level at which depletion is calculated. Natural gas, NGLs and oil properties deemed to be impaired are written down to their fair value, as determined by discounted future net cash flows or, if available, comparable market value. There were no proved property impairment charges for the three-year period ended December 31, 2025.</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We evaluate our unproved property investment periodically for impairment. The majority of these costs generally relate to the acquisition of leasehold costs. The costs are capitalized and evaluated (at least quarterly) as to recoverability based on changes brought about by economic factors and potential shifts in business strategy employed by management which could impact the number of locations we intend to drill. Impairment of a significant portion of our unproved properties is assessed and amortized on an aggregate basis based on our average holding period, expected forfeiture rate and anticipated drilling success. Information such as reservoir performance or future plans to develop acreage is also considered. Impairment of individually significant unproved property is assessed on a property-by-property basis considering a combination of time, geologic and engineering factors. Unproved properties had a net book value of $832.8 million as of December 31, 2025 compared to $819.7 million in 2024. We have recorded abandonment and impairment expense related to unproved properties of $28.9 million in the year ended December 31, 2025 compared to $8.4 million in 2024 and $46.4 million in 2023. </w:t>
      </w:r>
    </w:p>
    <w:p>
      <w:pPr>
        <w:pStyle w:val="TextBody"/>
        <w:bidi w:val="0"/>
        <w:spacing w:before="0" w:after="180"/>
        <w:jc w:val="left"/>
        <w:rPr>
          <w:rFonts w:ascii="Times New Roman" w:hAnsi="Times New Roman"/>
          <w:sz w:val="20"/>
        </w:rPr>
      </w:pPr>
      <w:r>
        <w:rPr>
          <w:rFonts w:ascii="Times New Roman" w:hAnsi="Times New Roman"/>
          <w:i/>
          <w:color w:val="000000"/>
          <w:sz w:val="20"/>
        </w:rPr>
        <w:t>Dispositions</w:t>
      </w:r>
      <w:r>
        <w:rPr>
          <w:rFonts w:ascii="Times New Roman" w:hAnsi="Times New Roman"/>
          <w:color w:val="000000"/>
          <w:sz w:val="20"/>
        </w:rPr>
        <w:t>. Proceeds from the disposal of natural gas, NGLs and oil producing properties that are part of an amortization base are credited to the net book value of the amortization group with no immediate effect on income. However, gain or loss is recognized if the disposition is significant enough to materially impact the depletion rate of the remaining properties in the amortization base. Dispositions are accounted for as a sale of assets. Gain or loss recognized on dispositions is included in other income.</w:t>
      </w:r>
    </w:p>
    <w:p>
      <w:pPr>
        <w:pStyle w:val="TextBody"/>
        <w:bidi w:val="0"/>
        <w:spacing w:before="0" w:after="180"/>
        <w:jc w:val="left"/>
        <w:rPr>
          <w:rFonts w:ascii="Times New Roman" w:hAnsi="Times New Roman"/>
          <w:sz w:val="20"/>
        </w:rPr>
      </w:pPr>
      <w:r>
        <w:rPr>
          <w:rFonts w:ascii="Times New Roman" w:hAnsi="Times New Roman"/>
          <w:b/>
          <w:color w:val="000000"/>
          <w:sz w:val="20"/>
        </w:rPr>
        <w:t>Other Property and Equipment</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Other property and equipment includes assets such as buildings, furniture and fixtures, field equipment, internal-use software, leasehold improvements and data processing and communication equipment. These items are generally depreciated by individual components on a straight-line basis over their economic useful life, which is generally from three to ten years. Leasehold improvements are amortized over the lesser of their economic useful lives or the underlying terms of the associated leases. Other property and equipment cost was $64.8 million in 2025 and $72.8 million in 2024 offset by accumulated depreciation of $59.9 million in 2025 and $70.3 million in 2024. Depreciation expense was $1.6 million in the year ended December 31, 2025 compared to $1.4 million in the year ended December 31, 2024 and $1.5 million in the year ended December 31, 2023 which is recorded in depletion, depreciation and amortization in the consolidated statements of income.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Leases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determine if an arrangement is a lease at the inception of the arrangement. We lease certain drilling or completion equipment, office space, field equipment, vehicles and other equipment under cancelable and non-cancelable leases to support our operations. Certain of our lease agreements include lease and non-lease components. We account for these components as a single lease. Lease costs associated with drilling and completion equipment are capitalized as part of well costs.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Lease right-of-use ("ROU") assets and liabilities are initially recorded on the lease commencement date based on the present value of lease payments over the lease term. As most of our lease contracts do not provide an implicit discount rate, we use our incremental borrowing rate which is determined based on information available at the commencement date of a lease. Leases may include renewal, purchase or termination options that can extend or shorten the term of the lease. The exercise of those options is at our discretion and is evaluated at inception and throughout the contract to determine if a modification of the lease term is required. Leases with a term of 12 months or less are not recorded as a right-of-use asset and liability. The majority of our leases are classified as either short-term or long-term operating leases.</w:t>
      </w:r>
    </w:p>
    <w:p>
      <w:pPr>
        <w:pStyle w:val="TextBody"/>
        <w:bidi w:val="0"/>
        <w:spacing w:before="0" w:after="180"/>
        <w:jc w:val="left"/>
        <w:rPr/>
      </w:pPr>
      <w:r>
        <w:rPr>
          <w:rFonts w:ascii="Times New Roman" w:hAnsi="Times New Roman"/>
          <w:color w:val="000000"/>
          <w:sz w:val="20"/>
        </w:rPr>
        <w:t xml:space="preserve">Our leased assets may be used in joint oil and gas operations with other working interest owners. We recognize lease liabilities and ROU assets only when we are the signatory to a contract as an operator of joint properties. Such lease liabilities and ROU assets are determined and disclosed based on gross contractual obligations. Our lease costs are also presented on a gross contractual basis. For additional information regarding our leases, see </w:t>
      </w:r>
      <w:hyperlink w:anchor="note_13">
        <w:r>
          <w:rPr>
            <w:rStyle w:val="InternetLink"/>
            <w:rFonts w:ascii="Times New Roman" w:hAnsi="Times New Roman"/>
            <w:color w:val="0000FF"/>
            <w:sz w:val="20"/>
            <w:u w:val="single"/>
          </w:rPr>
          <w:t>Note 13</w:t>
        </w:r>
      </w:hyperlink>
      <w:r>
        <w:rPr>
          <w:rFonts w:ascii="Times New Roman" w:hAnsi="Times New Roman"/>
          <w:color w:val="000000"/>
          <w:sz w:val="20"/>
        </w:rPr>
        <w:t>.</w:t>
      </w:r>
    </w:p>
    <w:p>
      <w:pPr>
        <w:pStyle w:val="TextBody"/>
        <w:bidi w:val="0"/>
        <w:spacing w:before="0" w:after="180"/>
        <w:jc w:val="left"/>
        <w:rPr>
          <w:rFonts w:ascii="Times New Roman" w:hAnsi="Times New Roman"/>
          <w:sz w:val="20"/>
        </w:rPr>
      </w:pPr>
      <w:r>
        <w:rPr>
          <w:rFonts w:ascii="Times New Roman" w:hAnsi="Times New Roman"/>
          <w:b/>
          <w:color w:val="000000"/>
          <w:sz w:val="20"/>
        </w:rPr>
        <w:t>Other Assets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Investments in unaffiliated equity securities held in our deferred compensation plans qualify as trading securities and are recorded at fair value. Investments held in the deferred compensation plans consist of various publicly-traded mutual funds. These funds include equity securities and money market instruments and are reported in other assets in the accompanying consolidated balance sheets.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Other assets at December 31, 2025 include $65.4 million of marketable securities held in our deferred compensation plan, $7.6 million of investments in surface acreage and $1.9 million of other assets. Other assets at December 31, 2024 include $61.0 million of marketable securities held in our deferred compensation plan, $5.0 million of debt issuance costs related to our bank credit facility, $7.6 million of investments in surface acreage, $4.0 million of deferred tax assets and $2.0 million of other assets.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Debt Issuance Costs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Costs associated with the arrangement of our credit facility are included as a reduction to the credit facility balance in long-term debt as of December 31, 2025 and are amortized over the life of the facility using the straight line method. When the credit facility is amended, there are unamortized debt issuance costs that carry from the previous facility to the new facility and are amortized over the new life of the facility. We paid $8.9 million in 2025 for these costs associated with the new amended facility. In total there is $11.3 million of unamortized debt issuance costs associated with the credit facility as of December 31, 2025. When the credit facility has a zero balance, as it did as of December 31, 2024, these unamortized costs are classified in long-term other assets. Costs associated with the issuance of senior notes are included in long-term debt and the remaining unamortized debt issuance costs are amortized over the life of the senior notes using the straight-line method. Unamortized debt issuance costs associated with the senior notes were $8.4 million as of December 31, 2025. Amortization of these costs are included as interest expense in the consolidated statements of income. </w:t>
      </w:r>
    </w:p>
    <w:p>
      <w:pPr>
        <w:pStyle w:val="TextBody"/>
        <w:bidi w:val="0"/>
        <w:spacing w:before="0" w:after="180"/>
        <w:jc w:val="left"/>
        <w:rPr>
          <w:rFonts w:ascii="Times New Roman" w:hAnsi="Times New Roman"/>
          <w:sz w:val="20"/>
        </w:rPr>
      </w:pPr>
      <w:r>
        <w:rPr>
          <w:rFonts w:ascii="Times New Roman" w:hAnsi="Times New Roman"/>
          <w:b/>
          <w:color w:val="000000"/>
          <w:sz w:val="20"/>
        </w:rPr>
        <w:t>Stock-based Compensation Arrangements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account for stock-based compensation under the fair value method of accounting. We grant various types of stock-based awards including time-based stock awards and performance-based stock awards. The fair value of our restricted stock awards and our performance-based stock awards (where the performance condition is based on internal performance metrics) is based on the market value of our common stock on the date of grant. The fair value of our performance-based awards where the performance condition is based on market conditions is estimated using a Monte Carlo simulation method.</w:t>
      </w:r>
    </w:p>
    <w:p>
      <w:pPr>
        <w:pStyle w:val="TextBody"/>
        <w:bidi w:val="0"/>
        <w:spacing w:before="0" w:after="180"/>
        <w:jc w:val="left"/>
        <w:rPr/>
      </w:pPr>
      <w:r>
        <w:rPr>
          <w:rFonts w:ascii="Times New Roman" w:hAnsi="Times New Roman"/>
          <w:color w:val="000000"/>
          <w:sz w:val="20"/>
        </w:rPr>
        <w:t xml:space="preserve">We recognize stock-based compensation expense on a straight-line basis over the requisite service period for the entire award. The expense we recognize is net of estimated forfeitures. We estimate our forfeiture rate based on prior experience and adjust it as circumstances warrant. If actual forfeitures are different than expected, adjustments to recognize expense may be required in future periods. To the extent possible, we limit the amount of shares to be issued for these awards by satisfying tax withholding requirements with cash. All awards have been issued at prevailing market prices at the time of grant and the vesting of these awards is based on an employee’s continued employment with us, with the exception of employment termination due to death, disability or retirement. For additional information regarding stock-based compensation, see </w:t>
      </w:r>
      <w:hyperlink w:anchor="note_10">
        <w:r>
          <w:rPr>
            <w:rStyle w:val="InternetLink"/>
            <w:rFonts w:ascii="Times New Roman" w:hAnsi="Times New Roman"/>
            <w:color w:val="0000FF"/>
            <w:sz w:val="20"/>
            <w:u w:val="single"/>
          </w:rPr>
          <w:t>Note 10</w:t>
        </w:r>
      </w:hyperlink>
      <w:r>
        <w:rPr>
          <w:rFonts w:ascii="Times New Roman" w:hAnsi="Times New Roman"/>
          <w:color w:val="000000"/>
          <w:sz w:val="20"/>
        </w:rPr>
        <w: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sz w:val="20"/>
        </w:rPr>
      </w:pPr>
      <w:r>
        <w:rPr>
          <w:rFonts w:ascii="Times New Roman" w:hAnsi="Times New Roman"/>
          <w:b/>
          <w:color w:val="000000"/>
          <w:sz w:val="20"/>
        </w:rPr>
        <w:t>Derivative Financial Instruments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We enter into financial commodity derivative contracts to manage exposure to price fluctuations on a portion of anticipated production volumes. We do not enter into these arrangements for speculative or trading purposes. All unsettled commodity derivative instruments are recorded in the accompanying consolidated balance sheets as either an asset or a liability measured at their fair value. In most cases, our derivatives are reflected on our consolidated balance sheets on a net basis by brokerage firm when they are governed by master netting agreements which, in an event of default, allows us to offset payables to and receivables from the defaulting counterparty. Changes in a derivative’s fair value are recognized in earnings. Cash flows from derivative contract settlements are reflected in operating activities in the accompanying consolidated statements of cash flows. </w:t>
      </w:r>
    </w:p>
    <w:p>
      <w:pPr>
        <w:pStyle w:val="TextBody"/>
        <w:bidi w:val="0"/>
        <w:spacing w:before="0" w:after="180"/>
        <w:jc w:val="left"/>
        <w:rPr/>
      </w:pPr>
      <w:r>
        <w:rPr>
          <w:rFonts w:ascii="Times New Roman" w:hAnsi="Times New Roman"/>
          <w:color w:val="000000"/>
          <w:sz w:val="20"/>
        </w:rPr>
        <w:t xml:space="preserve">All realized and unrealized gains and losses on derivative instruments are accounted for using the mark-to-market accounting method. We recognize all unrealized and realized gains and losses related to these contracts in each period in derivative fair value income (loss) in the accompanying consolidated statements of income. Certain of our commodity derivatives are swaps where we receive a fixed price for our production and pay market prices to the counterparty. We have collars which establish a minimum floor price and a predetermined ceiling price. Our program may also include three-way collars which are a combination of three options: a sold call, a purchased put and a sold put. The sold call establishes the ceiling price while the purchased put establishes the floor price until the market price for the commodity falls below the sold put price at which time the value of the purchased put is effectively capped. We have also entered into natural gas derivative instruments containing a fixed price swap and a sold option (which we refer to as a swaption). The price we receive for our natural gas production can be more or less than the NYMEX price because of adjustments for delivery location ("basis"), relative quality and other factors; therefore, we have entered into natural gas basis swap agreements that effectively fix our basis adjustments. For additional information regarding our derivative instruments, see </w:t>
      </w:r>
      <w:hyperlink w:anchor="note_8">
        <w:r>
          <w:rPr>
            <w:rStyle w:val="InternetLink"/>
            <w:rFonts w:ascii="Times New Roman" w:hAnsi="Times New Roman"/>
            <w:color w:val="0000FF"/>
            <w:sz w:val="20"/>
            <w:u w:val="single"/>
          </w:rPr>
          <w:t>Note 8</w:t>
        </w:r>
      </w:hyperlink>
      <w:r>
        <w:rPr>
          <w:rFonts w:ascii="Times New Roman" w:hAnsi="Times New Roman"/>
          <w:color w:val="000000"/>
          <w:sz w:val="20"/>
        </w:rPr>
        <w:t xml:space="preserve">.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Fair Value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Fair value is the price that would be received to sell an asset or paid to transfer a liability in an orderly transaction between market participants at the measurement date (exit price). To estimate fair value, we utilize market data or assumptions that market participants would use in pricing the asset or liability, including assumptions about risk and risks inherent in the inputs to the valuation technique. These inputs can be readily observable, market corroborated or generally unobservable. The fair value standards establish a fair value hierarchy that prioritizes the inputs used in applying the various valuation techniques. The hierarchy gives the highest priority to the unadjusted quoted prices in the active markets ("Level 1" measurements) and the lowest priority to unobservable inputs ("Level 3" measurements). The three levels of the fair value hierarchy are as follows: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 Level 1 – Observable inputs that reflect unadjusted quoted prices for identical assets or liabilities in active markets as of the reporting date. Active markets are those in which transactions for the asset or liability occur in sufficient frequency and volume to provide pricing information on an ongoing basis.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 Level 2 – Observable market-based inputs or unobservable inputs that are corroborated by market data. These are inputs other than quoted prices in active markets included in Level 1, which are either directly or indirectly observable as of the reporting date.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 Level 3 – Unobservable inputs for which there is little, if any, market activity for the asset or liability being measured. These inputs reflect management’s best estimates of the assumptions market participants would use in determining fair value. Our Level 3 measurements consist of instruments using standard pricing models and other valuation methods that utilize unobservable pricing inputs that are significant to the overall value. </w:t>
      </w:r>
    </w:p>
    <w:p>
      <w:pPr>
        <w:pStyle w:val="TextBody"/>
        <w:bidi w:val="0"/>
        <w:spacing w:before="60" w:after="180"/>
        <w:jc w:val="left"/>
        <w:rPr/>
      </w:pPr>
      <w:r>
        <w:rPr>
          <w:rFonts w:ascii="Times New Roman" w:hAnsi="Times New Roman"/>
          <w:color w:val="000000"/>
          <w:sz w:val="20"/>
        </w:rPr>
        <w:t xml:space="preserve">Valuation techniques that maximize the use of observable inputs are favored. Assets and liabilities are classified in their entirety based on the lowest priority level of input that is significant to the fair value measurement. The assessment of the significance of a particular input to the fair value measurement requires judgment and may affect the placement of assets and liabilities within the levels of the fair value hierarchy. When transfers between levels occur, it is our policy to assume the transfer occurred at the date of the event or change in circumstances that caused the transfer. We value trading securities in the deferred compensation plan and derivative assets and liabilities at fair value on a recurring basis. Certain assets are measured at fair value on a non-recurring basis. For example, our proved natural gas properties and other property and equipment are assessed for impairment periodically as events or changes in circumstances indicate the carrying amount may not be recoverable. There were no property impairment charges for the three-year period ended December 31, 2025. For additional information regarding the use of fair value, see </w:t>
      </w:r>
      <w:hyperlink w:anchor="note_8">
        <w:r>
          <w:rPr>
            <w:rStyle w:val="InternetLink"/>
            <w:rFonts w:ascii="Times New Roman" w:hAnsi="Times New Roman"/>
            <w:color w:val="0000FF"/>
            <w:sz w:val="20"/>
            <w:u w:val="single"/>
          </w:rPr>
          <w:t>Note 8</w:t>
        </w:r>
      </w:hyperlink>
      <w:r>
        <w:rPr>
          <w:rFonts w:ascii="Times New Roman" w:hAnsi="Times New Roman"/>
          <w:color w:val="000000"/>
          <w:sz w:val="20"/>
        </w:rPr>
        <w:t xml:space="preserve"> and </w:t>
      </w:r>
      <w:hyperlink w:anchor="note_9">
        <w:r>
          <w:rPr>
            <w:rStyle w:val="InternetLink"/>
            <w:rFonts w:ascii="Times New Roman" w:hAnsi="Times New Roman"/>
            <w:color w:val="0000FF"/>
            <w:sz w:val="20"/>
            <w:u w:val="single"/>
          </w:rPr>
          <w:t>Note 9</w:t>
        </w:r>
      </w:hyperlink>
      <w:r>
        <w:rPr>
          <w:rFonts w:ascii="Times New Roman" w:hAnsi="Times New Roman"/>
          <w:color w:val="000000"/>
          <w:sz w:val="20"/>
        </w:rPr>
        <w:t xml:space="preserve">. </w:t>
      </w:r>
    </w:p>
    <w:p>
      <w:pPr>
        <w:pStyle w:val="TextBody"/>
        <w:bidi w:val="0"/>
        <w:spacing w:before="0" w:after="180"/>
        <w:jc w:val="left"/>
        <w:rPr>
          <w:rFonts w:ascii="Times New Roman" w:hAnsi="Times New Roman"/>
          <w:sz w:val="20"/>
        </w:rPr>
      </w:pPr>
      <w:r>
        <w:rPr>
          <w:rFonts w:ascii="Times New Roman" w:hAnsi="Times New Roman"/>
          <w:b/>
          <w:color w:val="000000"/>
          <w:sz w:val="20"/>
        </w:rPr>
        <w:t>Concentrations of Credit Risk</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As of December 31, 2025, our primary concentrations of credit risk are the risks of collecting accounts receivable and the risk of counterparties’ failure to perform under derivative contracts. Most of our receivables are from a diverse group of companies, including major energy companies, pipeline companies, local distribution companies, financial institutions, commodity traders and end-users in various industries and such receivables are generally unsecured. The nature of our customers’ businesses may impact our overall credit risk, either positively or negatively, in that these entities may be similarly affected by changes in economic or other conditions.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manage risks of collecting accounts receivable, we monitor our counterparties’ financial strength and/or credit ratings and where we deem necessary, we obtain parent company guarantees, prepayments, letters of credit or other credit enhancements to reduce risk of loss. We may also limit the level of exposure with any single counterparty. We do not anticipate a material impact on our financial results due to non-performance by third parties.</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For the year ended December 31, 2025, we had one customer that accounted for 10% or more of natural gas, NGLs and oil sales compared to two customers for the year ended December 31, 2024 and one customer for the year ended December 31, 2023. Customer A represented 10% of sales in 2025, 15% of sales in 2024 and 13% in 2023. Customer B represented 10% of sales in 2024. We believe that the loss of any one customer would not have an adverse effect on our ability to sell our natural gas, NGLs and oil production.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We have executed International Swap Dealers Association Master Agreements ("ISDA Agreements") with counterparties for the purpose of entering into derivative contracts. To manage counterparty risk associated with our derivatives, we select and monitor counterparties based on assessment of their financial strength and/or credit ratings. Additionally, the terms of our ISDA Agreements provide us and our counterparties with netting rights such that we may offset payables against receivables with a counterparty under separate derivative contracts. Our ISDA Agreements also generally contain set-off rights such that, upon the occurrence of defined acts of default by either us or a counterparty to a derivative contract, the non-defaulting party may set-off receivables owed under all derivative contracts against payables from other agreements with that counterparty. None of our derivative contracts have a margin requirement or collateral provision that would require us to fund or post additional collateral prior to the scheduled cash settlement date. </w:t>
      </w:r>
    </w:p>
    <w:p>
      <w:pPr>
        <w:pStyle w:val="TextBody"/>
        <w:bidi w:val="0"/>
        <w:jc w:val="left"/>
        <w:rPr>
          <w:rFonts w:ascii="Times New Roman" w:hAnsi="Times New Roman"/>
          <w:color w:val="000000"/>
          <w:sz w:val="20"/>
        </w:rPr>
      </w:pPr>
      <w:r>
        <w:rPr>
          <w:rFonts w:ascii="Times New Roman" w:hAnsi="Times New Roman"/>
          <w:color w:val="000000"/>
          <w:sz w:val="20"/>
        </w:rPr>
        <w:t>At December 31, 2025, our derivative counterparties included fourteen financial institutions and commodity traders, of which all but four are secured lenders in our bank credit facility. At December 31, 2025, our net derivative asset includes a payable to one of the counterparties not included in our bank credit facility totaling $1.4 million and a receivable from three of the counterparties not included in our bank credit facility totaling $1.3 million. In determining fair value of derivative assets, we evaluate the risk of non-performance and incorporate factors such as amounts owed under other agreements permitting set-off, as well as pricing of credit default swaps for the counterparty. Historically, we have not experienced any issues of non-performance by derivative counterparties. Net derivative liabilities are determined in part by using our market-based credit spread to incorporate our theoretical risk of non-performance.</w:t>
      </w:r>
    </w:p>
    <w:p>
      <w:pPr>
        <w:pStyle w:val="TextBody"/>
        <w:bidi w:val="0"/>
        <w:spacing w:before="180" w:after="283"/>
        <w:jc w:val="left"/>
        <w:rPr>
          <w:rFonts w:ascii="Times New Roman" w:hAnsi="Times New Roman"/>
          <w:sz w:val="20"/>
        </w:rPr>
      </w:pPr>
      <w:r>
        <w:rPr>
          <w:rFonts w:ascii="Times New Roman" w:hAnsi="Times New Roman"/>
          <w:b/>
          <w:color w:val="000000"/>
          <w:sz w:val="20"/>
        </w:rPr>
        <w:t>Asset Retirement Obligations</w:t>
      </w:r>
      <w:r>
        <w:rPr>
          <w:rFonts w:ascii="Times New Roman" w:hAnsi="Times New Roman"/>
          <w:color w:val="000000"/>
          <w:sz w:val="20"/>
        </w:rPr>
        <w:t xml:space="preserve"> </w:t>
      </w:r>
    </w:p>
    <w:p>
      <w:pPr>
        <w:pStyle w:val="TextBody"/>
        <w:bidi w:val="0"/>
        <w:spacing w:before="180" w:after="283"/>
        <w:jc w:val="left"/>
        <w:rPr/>
      </w:pPr>
      <w:r>
        <w:rPr>
          <w:rFonts w:ascii="Times New Roman" w:hAnsi="Times New Roman"/>
          <w:color w:val="000000"/>
          <w:sz w:val="20"/>
        </w:rPr>
        <w:t xml:space="preserve">The fair value of asset retirement obligations ("ARO") is recognized in the period they are incurred, if a reasonable estimate of fair value can be made. Asset retirement obligations primarily relate to the abandonment of natural gas, NGLs and oil producing properties and include costs to dismantle and relocate or dispose of production platforms, wells and related structures. Key inputs used in determining such obligations include estimates of plugging and abandonment costs, estimated future inflation rates and the timing of expected plugging. Estimates are based on historical experience of plugging and abandoning wells, estimated remaining lives of those wells based on reserve estimates, external estimates of the cost to plug and abandon the wells in the future, federal and state regulatory requirements, inflation rates and credit-adjusted-risk-free interest rates. Depreciation of capitalized asset retirement costs will generally be determined on a units-of-production basis while accretion to be recognized will escalate over the life of the producing assets. See </w:t>
      </w:r>
      <w:hyperlink w:anchor="note_7">
        <w:r>
          <w:rPr>
            <w:rStyle w:val="InternetLink"/>
            <w:rFonts w:ascii="Times New Roman" w:hAnsi="Times New Roman"/>
            <w:color w:val="0000FF"/>
            <w:sz w:val="20"/>
            <w:u w:val="single"/>
          </w:rPr>
          <w:t>Note 7</w:t>
        </w:r>
      </w:hyperlink>
      <w:r>
        <w:rPr>
          <w:rFonts w:ascii="Times New Roman" w:hAnsi="Times New Roman"/>
          <w:color w:val="000000"/>
          <w:sz w:val="20"/>
        </w:rPr>
        <w:t xml:space="preserve"> for additional information.</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Exit Costs</w:t>
      </w:r>
    </w:p>
    <w:p>
      <w:pPr>
        <w:pStyle w:val="TextBody"/>
        <w:bidi w:val="0"/>
        <w:spacing w:before="0" w:after="180"/>
        <w:jc w:val="left"/>
        <w:rPr/>
      </w:pPr>
      <w:r>
        <w:rPr>
          <w:rFonts w:ascii="Times New Roman" w:hAnsi="Times New Roman"/>
          <w:color w:val="000000"/>
          <w:sz w:val="20"/>
        </w:rPr>
        <w:t xml:space="preserve">We recognize the fair value of a liability for an exit cost in the period in which a liability is incurred. The recognition and fair value estimation of an exit cost liability requires that management take into account certain estimates and assumptions. Fair value estimates are based on future discounted cash outflows required to satisfy the obligation. In periods subsequent to initial measurement, changes to an exit cost liability, including changes resulting from revisions to either the timing or the amount of estimated cash flows over the future contract period, are recognized as an adjustment to the liability in the period of the change utilizing the initial discount rate. These costs, including associated accretion expense, are included in exit costs in the accompanying consolidated statements of income. See </w:t>
      </w:r>
      <w:hyperlink w:anchor="note_14">
        <w:r>
          <w:rPr>
            <w:rStyle w:val="InternetLink"/>
            <w:rFonts w:ascii="Times New Roman" w:hAnsi="Times New Roman"/>
            <w:color w:val="0000FF"/>
            <w:sz w:val="20"/>
            <w:u w:val="single"/>
          </w:rPr>
          <w:t>Note 14</w:t>
        </w:r>
      </w:hyperlink>
      <w:r>
        <w:rPr>
          <w:rFonts w:ascii="Times New Roman" w:hAnsi="Times New Roman"/>
          <w:color w:val="000000"/>
          <w:sz w:val="20"/>
        </w:rPr>
        <w:t xml:space="preserve"> for additional information.</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Contingencies</w:t>
      </w:r>
    </w:p>
    <w:p>
      <w:pPr>
        <w:pStyle w:val="TextBody"/>
        <w:bidi w:val="0"/>
        <w:spacing w:before="60" w:after="120"/>
        <w:jc w:val="left"/>
        <w:rPr/>
      </w:pPr>
      <w:r>
        <w:rPr>
          <w:rFonts w:ascii="Times New Roman" w:hAnsi="Times New Roman"/>
          <w:color w:val="000000"/>
          <w:sz w:val="20"/>
        </w:rPr>
        <w:t xml:space="preserve">We are subject to legal proceedings, claims, and liabilities and environmental matters that arise in the ordinary course of business. We accrue for losses when such losses are considered probable and the amounts can be reasonably estimated. See </w:t>
      </w:r>
      <w:hyperlink w:anchor="note_13">
        <w:r>
          <w:rPr>
            <w:rStyle w:val="InternetLink"/>
            <w:rFonts w:ascii="Times New Roman" w:hAnsi="Times New Roman"/>
            <w:color w:val="0000FF"/>
            <w:sz w:val="20"/>
            <w:u w:val="single"/>
          </w:rPr>
          <w:t>Note 13</w:t>
        </w:r>
      </w:hyperlink>
      <w:r>
        <w:rPr>
          <w:rFonts w:ascii="Times New Roman" w:hAnsi="Times New Roman"/>
          <w:color w:val="000000"/>
          <w:sz w:val="20"/>
        </w:rPr>
        <w:t xml:space="preserve"> for a more detailed discussion regarding our contingencies.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sz w:val="20"/>
        </w:rPr>
      </w:pPr>
      <w:r>
        <w:rPr>
          <w:rFonts w:ascii="Times New Roman" w:hAnsi="Times New Roman"/>
          <w:b/>
          <w:color w:val="000000"/>
          <w:sz w:val="20"/>
        </w:rPr>
        <w:t>Environmental Costs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Environmental expenditures are capitalized if the costs mitigate or prevent future contamination or if the costs improve environmental safety or efficiency of the existing assets. Expenditures that relate to an existing condition caused by past operations that have no future economic benefits are expensed.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Deferred Taxes</w:t>
      </w:r>
      <w:r>
        <w:rPr>
          <w:rFonts w:ascii="Times New Roman" w:hAnsi="Times New Roman"/>
          <w:color w:val="000000"/>
          <w:sz w:val="20"/>
        </w:rPr>
        <w:t xml:space="preserve"> </w:t>
      </w:r>
    </w:p>
    <w:p>
      <w:pPr>
        <w:pStyle w:val="TextBody"/>
        <w:bidi w:val="0"/>
        <w:spacing w:before="180" w:after="180"/>
        <w:jc w:val="left"/>
        <w:rPr>
          <w:rFonts w:ascii="Times New Roman" w:hAnsi="Times New Roman"/>
          <w:sz w:val="20"/>
        </w:rPr>
      </w:pPr>
      <w:r>
        <w:rPr>
          <w:rFonts w:ascii="Times New Roman" w:hAnsi="Times New Roman"/>
          <w:color w:val="000000"/>
          <w:sz w:val="20"/>
        </w:rPr>
        <w:t xml:space="preserve">Deferred tax assets and liabilities, measured by the enacted tax rates, are recognized for the estimated future tax consequences attributable to the differences between the financial statement carrying amounts of assets and liabilities and their tax bases as reported in our filings with the respective taxing authorities. Deferred tax assets are recorded when it is more likely than not that they will be realized. The realization of deferred tax assets is assessed periodically based on several interrelated factors. These factors may include whether we are in a cumulative loss position in recent years, our reversal of temporary differences and our expectation to generate sufficient taxable income in the periods before tax credits and operating loss carryforwards expire. All deferred taxes are classified as long-term in the accompanying consolidated balance sheets. See </w:t>
      </w:r>
      <w:r>
        <w:rPr>
          <w:rFonts w:ascii="Times New Roman" w:hAnsi="Times New Roman"/>
          <w:color w:val="0000FF"/>
          <w:sz w:val="20"/>
          <w:u w:val="single"/>
        </w:rPr>
        <w:t>Note 4</w:t>
      </w:r>
      <w:r>
        <w:rPr>
          <w:rFonts w:ascii="Times New Roman" w:hAnsi="Times New Roman"/>
          <w:color w:val="000000"/>
          <w:sz w:val="20"/>
        </w:rPr>
        <w:t xml:space="preserve"> for a more detailed discussion regarding our income taxes.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Treasury Stock</w:t>
      </w:r>
    </w:p>
    <w:p>
      <w:pPr>
        <w:pStyle w:val="TextBody"/>
        <w:bidi w:val="0"/>
        <w:spacing w:before="0" w:after="180"/>
        <w:jc w:val="left"/>
        <w:rPr/>
      </w:pPr>
      <w:r>
        <w:rPr>
          <w:rFonts w:ascii="Times New Roman" w:hAnsi="Times New Roman"/>
          <w:color w:val="000000"/>
          <w:sz w:val="20"/>
        </w:rPr>
        <w:t xml:space="preserve">Treasury stock purchases are recorded at cost. Upon re-issuance, the cost of treasury shares held is reduced by the average purchase price per share of the aggregate treasury shares held. See </w:t>
      </w:r>
      <w:hyperlink w:anchor="note_11">
        <w:r>
          <w:rPr>
            <w:rStyle w:val="InternetLink"/>
            <w:rFonts w:ascii="Times New Roman" w:hAnsi="Times New Roman"/>
            <w:color w:val="0000FF"/>
            <w:sz w:val="20"/>
            <w:u w:val="single"/>
          </w:rPr>
          <w:t>Note 11</w:t>
        </w:r>
      </w:hyperlink>
      <w:r>
        <w:rPr>
          <w:rFonts w:ascii="Times New Roman" w:hAnsi="Times New Roman"/>
          <w:color w:val="000000"/>
          <w:sz w:val="20"/>
        </w:rPr>
        <w:t xml:space="preserve"> for a more detailed discussion regarding our treasury stock.</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Recently Adopted Accounting Standards</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In December 2023, the FASB issued ASU 2023-09, </w:t>
      </w:r>
      <w:r>
        <w:rPr>
          <w:rFonts w:ascii="Times New Roman" w:hAnsi="Times New Roman"/>
          <w:i/>
          <w:color w:val="000000"/>
          <w:sz w:val="20"/>
        </w:rPr>
        <w:t>Income Taxes: Improvements to Income Tax Disclosures</w:t>
      </w:r>
      <w:r>
        <w:rPr>
          <w:rFonts w:ascii="Times New Roman" w:hAnsi="Times New Roman"/>
          <w:color w:val="000000"/>
          <w:sz w:val="20"/>
        </w:rPr>
        <w:t xml:space="preserve"> to improve its income tax disclosure requirements. Under this ASU, public business entities must annually (1) disclose specific categories in the rate reconciliation table and additional categories of information about federal and state income taxes and provide more details about the reconciling items in certain categories if the items meet a quantitative threshold and (2) disclose income taxes paid (net of refunds received) aggregated by federal and state and disaggregate any information by jurisdiction based on a quantitative threshold. This ASU is effective for fiscal years beginning after December 15, 2024, and early adoption is permitted. We have adopted ASU 2023-09 in the current period and updated our consolidated financial statement disclosures accordingly on a retrospective basis.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Accounting Standards Not Yet Adopted</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Statement—Reporting Comprehensive Income—Expense Disaggregation Disclosures (Subtopic 220-40)</w:t>
      </w:r>
      <w:r>
        <w:rPr>
          <w:rFonts w:ascii="Times New Roman" w:hAnsi="Times New Roman"/>
          <w:color w:val="000000"/>
          <w:sz w:val="20"/>
        </w:rPr>
        <w:t xml:space="preserve"> to improve its expense disclosure requirements. Under this ASU, public business entities at interim and annual reporting periods must (1) disclose the amounts for specific categories of expenses within relevant expense captions, (2) include certain amounts that are already required to be disclosed under current GAAP in the same disclosure as the other disaggregation requirements, (3) disclose a qualitative description of the amounts remaining in relevant expense captions that are not separately disaggregated quantitatively and (4) disclose the total amount of selling expenses and, in annual reporting periods, an entity’s definition of selling expenses. This ASU is effective for annual reporting periods beginning after December 15, 2026, and for interim reporting periods beginning after December 15, 2027. Early adoption is permitted. We are evaluating the impact that ASU 2024-03 will have on the consolidated financial statements and plan to adopt this guidance as of December 31, 2027.</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There are no other accounting standards applicable to us that would have a material effect on our consolidated financial statements and disclosures that have been issued but not yet adopted by us as of December 31, 2025, and through the filing date of this report.</w:t>
      </w:r>
    </w:p>
    <w:p>
      <w:pPr>
        <w:pStyle w:val="TextBody"/>
        <w:bidi w:val="0"/>
        <w:spacing w:before="0" w:after="180"/>
        <w:jc w:val="left"/>
        <w:rPr>
          <w:rFonts w:ascii="Times New Roman" w:hAnsi="Times New Roman"/>
          <w:b/>
          <w:color w:val="000000"/>
          <w:sz w:val="20"/>
        </w:rPr>
      </w:pPr>
      <w:bookmarkStart w:id="60" w:name="note_3"/>
      <w:bookmarkEnd w:id="60"/>
      <w:r>
        <w:rPr>
          <w:rFonts w:ascii="Times New Roman" w:hAnsi="Times New Roman"/>
          <w:b/>
          <w:color w:val="000000"/>
          <w:sz w:val="20"/>
        </w:rPr>
        <w:t>(3) REVENUES FROM CONTRACTS WITH CUSTOMERS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Disaggregation of Revenue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have identified three material revenue streams in our business: natural gas sales, NGLs sales and oil sales. Brokered revenue attributable to each product sales type is included here because the volume of product that we purchase is subsequently sold to separate counterparties in accordance with existing sales contracts under which we also sell our production. Revenue attributable to each of our identified revenue streams is disaggregated below (in thousands):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857" w:type="dxa"/>
        <w:jc w:val="left"/>
        <w:tblInd w:w="0" w:type="dxa"/>
        <w:tblLayout w:type="fixed"/>
        <w:tblCellMar>
          <w:top w:w="28" w:type="dxa"/>
          <w:left w:w="28" w:type="dxa"/>
          <w:bottom w:w="28" w:type="dxa"/>
          <w:right w:w="28" w:type="dxa"/>
        </w:tblCellMar>
      </w:tblPr>
      <w:tblGrid>
        <w:gridCol w:w="3456"/>
        <w:gridCol w:w="211"/>
        <w:gridCol w:w="931"/>
        <w:gridCol w:w="146"/>
        <w:gridCol w:w="146"/>
        <w:gridCol w:w="211"/>
        <w:gridCol w:w="931"/>
        <w:gridCol w:w="146"/>
        <w:gridCol w:w="146"/>
        <w:gridCol w:w="211"/>
        <w:gridCol w:w="931"/>
        <w:gridCol w:w="391"/>
      </w:tblGrid>
      <w:tr>
        <w:trPr/>
        <w:tc>
          <w:tcPr>
            <w:tcW w:w="34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1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Natural gas sales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1,730,205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1,052,442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1,234,308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NGLs sales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979,313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1,020,903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933,791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Oil sales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166,562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natural gas, NGLs and oil sales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2,815,591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2,213,850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2,334,661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of purchased natural gas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195,656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of purchased NGLs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marketing revenue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2,988,164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2,346,898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2,541,213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180"/>
        <w:jc w:val="left"/>
        <w:rPr>
          <w:rFonts w:ascii="Times New Roman" w:hAnsi="Times New Roman"/>
          <w:b/>
          <w:color w:val="000000"/>
          <w:sz w:val="20"/>
        </w:rPr>
      </w:pPr>
      <w:r>
        <w:rPr>
          <w:rFonts w:ascii="Times New Roman" w:hAnsi="Times New Roman"/>
          <w:b/>
          <w:color w:val="000000"/>
          <w:sz w:val="20"/>
        </w:rPr>
        <w:t>Performance Obligations and Contract Balance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 significant number of our product sales are short-term in nature with a contract term of one year or less. We typically satisfy our performance obligation upon transfer of control and record revenue in the month production is delivered to the purchaser. Settlement statements for certain gas and NGLs sales may be received 30 to 90 days after the date production is delivered, and as a result, we are required to estimate the amount of production that was delivered to the purchaser and the price that will be received for the sale of the product. We record the differences between our estimates and the actual amounts for product sales in the month that payment is received from the purchaser. We have internal controls in place for our estimation process and any identified differences between our revenue estimates and actual revenue received historically have not been significant. For the three years ended December 31, 2025, 2024 and 2023, revenue recognized in the reporting period related to performance obligations satisfied in prior reporting periods was not material. Under our sales contracts, we invoice customers once our performance obligations have been satisfied, at which point payment is unconditional. Accordingly, our product sales contracts do not give rise to contract assets or liabilities. Accounts receivable attributable to our revenue contracts with customers was $354.9 million at December 31, 2025 compared to $291.5 million at December 31, 2024.</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(4) INCOME TAXES</w:t>
      </w:r>
    </w:p>
    <w:p>
      <w:pPr>
        <w:pStyle w:val="TextBody"/>
        <w:bidi w:val="0"/>
        <w:spacing w:before="0" w:after="180"/>
        <w:jc w:val="left"/>
        <w:rPr/>
      </w:pPr>
      <w:r>
        <w:rPr>
          <w:rFonts w:ascii="Times New Roman" w:hAnsi="Times New Roman"/>
          <w:color w:val="000000"/>
          <w:sz w:val="20"/>
        </w:rPr>
        <w:t xml:space="preserve">Our income tax expense was $173.7 million for the year ended December 31, 2025 compared to a benefit of $15.7 million in 2024 and an expense of $229.2 million in 2023. The effective income tax rate is influenced by a variety of factors including geographic sources and relative magnitude of these sources of income as well as a prior year reduction in our valuation allowances related to a change in the realizability of our federal and Pennsylvania deferred tax assets. Additionally, in the current and prior year we recorded a tax benefit related to credits generated in the current year and as part of a look-back study. See </w:t>
      </w:r>
      <w:hyperlink w:anchor="note_12">
        <w:r>
          <w:rPr>
            <w:rStyle w:val="InternetLink"/>
            <w:rFonts w:ascii="Times New Roman" w:hAnsi="Times New Roman"/>
            <w:color w:val="0000FF"/>
            <w:sz w:val="20"/>
            <w:u w:val="single"/>
          </w:rPr>
          <w:t>Note 12</w:t>
        </w:r>
      </w:hyperlink>
      <w:r>
        <w:rPr>
          <w:rFonts w:ascii="Times New Roman" w:hAnsi="Times New Roman"/>
          <w:color w:val="000000"/>
          <w:sz w:val="20"/>
        </w:rPr>
        <w:t xml:space="preserve"> for information on cash tax payments. Reconciliation between the statutory federal income tax rate and our effective income tax rate is as follows ($ in thousands): </w:t>
      </w:r>
    </w:p>
    <w:tbl>
      <w:tblPr>
        <w:tblW w:w="10205" w:type="dxa"/>
        <w:jc w:val="left"/>
        <w:tblInd w:w="0" w:type="dxa"/>
        <w:tblLayout w:type="fixed"/>
        <w:tblCellMar>
          <w:top w:w="28" w:type="dxa"/>
          <w:left w:w="28" w:type="dxa"/>
          <w:bottom w:w="28" w:type="dxa"/>
          <w:right w:w="28" w:type="dxa"/>
        </w:tblCellMar>
      </w:tblPr>
      <w:tblGrid>
        <w:gridCol w:w="2992"/>
        <w:gridCol w:w="211"/>
        <w:gridCol w:w="781"/>
        <w:gridCol w:w="166"/>
        <w:gridCol w:w="146"/>
        <w:gridCol w:w="146"/>
        <w:gridCol w:w="466"/>
        <w:gridCol w:w="304"/>
        <w:gridCol w:w="146"/>
        <w:gridCol w:w="211"/>
        <w:gridCol w:w="736"/>
        <w:gridCol w:w="166"/>
        <w:gridCol w:w="146"/>
        <w:gridCol w:w="146"/>
        <w:gridCol w:w="526"/>
        <w:gridCol w:w="304"/>
        <w:gridCol w:w="146"/>
        <w:gridCol w:w="211"/>
        <w:gridCol w:w="781"/>
        <w:gridCol w:w="166"/>
        <w:gridCol w:w="146"/>
        <w:gridCol w:w="146"/>
        <w:gridCol w:w="466"/>
        <w:gridCol w:w="550"/>
      </w:tblGrid>
      <w:tr>
        <w:trPr/>
        <w:tc>
          <w:tcPr>
            <w:tcW w:w="29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r>
      <w:tr>
        <w:trPr/>
        <w:tc>
          <w:tcPr>
            <w:tcW w:w="29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63"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 statutory tax rate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174,655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231,072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State and local income tax, net of federal benefit </w:t>
            </w:r>
            <w:r>
              <w:rPr>
                <w:rFonts w:ascii="Times New Roman" w:hAnsi="Times New Roman"/>
                <w:color w:val="000000"/>
                <w:sz w:val="13"/>
              </w:rPr>
              <w:t>(a)</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credits - research and development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Nontaxable or nondeductible items</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Equity-based compensation expense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5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effective tax rate</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173,666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229,201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5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120" w:after="283"/>
        <w:jc w:val="left"/>
        <w:rPr>
          <w:rFonts w:ascii="Times New Roman" w:hAnsi="Times New Roman"/>
          <w:sz w:val="22"/>
        </w:rPr>
      </w:pPr>
      <w:r>
        <w:rPr>
          <w:rFonts w:ascii="Times New Roman" w:hAnsi="Times New Roman"/>
          <w:color w:val="000000"/>
          <w:sz w:val="18"/>
        </w:rPr>
        <w:t>State taxes in Pennsylvania make up the majority of the tax effect in this category.</w:t>
      </w:r>
      <w:r>
        <w:rPr>
          <w:rFonts w:ascii="Times New Roman" w:hAnsi="Times New Roman"/>
          <w:color w:val="000000"/>
          <w:sz w:val="22"/>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 xml:space="preserve">Income tax expense (benefit) attributable to income before income taxes consists of the following (in thousands): </w:t>
      </w:r>
    </w:p>
    <w:tbl>
      <w:tblPr>
        <w:tblW w:w="6332" w:type="dxa"/>
        <w:jc w:val="left"/>
        <w:tblInd w:w="0" w:type="dxa"/>
        <w:tblLayout w:type="fixed"/>
        <w:tblCellMar>
          <w:top w:w="28" w:type="dxa"/>
          <w:left w:w="28" w:type="dxa"/>
          <w:bottom w:w="28" w:type="dxa"/>
          <w:right w:w="28" w:type="dxa"/>
        </w:tblCellMar>
      </w:tblPr>
      <w:tblGrid>
        <w:gridCol w:w="2506"/>
        <w:gridCol w:w="211"/>
        <w:gridCol w:w="781"/>
        <w:gridCol w:w="146"/>
        <w:gridCol w:w="146"/>
        <w:gridCol w:w="211"/>
        <w:gridCol w:w="736"/>
        <w:gridCol w:w="166"/>
        <w:gridCol w:w="146"/>
        <w:gridCol w:w="211"/>
        <w:gridCol w:w="781"/>
        <w:gridCol w:w="291"/>
      </w:tblGrid>
      <w:tr>
        <w:trPr/>
        <w:tc>
          <w:tcPr>
            <w:tcW w:w="25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3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State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1,547</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1,547</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Deferred</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Federal</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157,850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230,563</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State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164,272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227,654</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tax expense (benefit)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173,666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229,201</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180"/>
        <w:jc w:val="left"/>
        <w:rPr>
          <w:rFonts w:ascii="Times New Roman" w:hAnsi="Times New Roman"/>
          <w:color w:val="000000"/>
          <w:sz w:val="20"/>
        </w:rPr>
      </w:pPr>
      <w:r>
        <w:rPr>
          <w:rFonts w:ascii="Times New Roman" w:hAnsi="Times New Roman"/>
          <w:color w:val="000000"/>
          <w:sz w:val="20"/>
        </w:rPr>
        <w:t xml:space="preserve">At December 31, 2025, deferred tax liabilities exceeded deferred tax assets by $701.6 million. We continue to evaluate the realizability of our federal and state deferred tax assets. As of December 31, 2025, we have a state valuation allowance of $126.3 million related to state tax attributes in Louisiana, Oklahoma, Texas and West Virginia. As of December 31, 2024 and 2025, we have no remaining federal or Pennsylvania valuation allowances. The net change in our deferred tax asset valuation allowances was an increase of $1.4 million for the year ended December 31, 2025 compared to a decrease of $70.4 million for the year ended December 31, 2024 and an increase of $2.7 million in 2023.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At December 31, 2025, we have federal NOL carryforwards of $1.1 billion, all of which were generated after 2017 that do not expire. We have state NOL carryforwards in Pennsylvania of $721.9 million that expire between 2031 and 2042 and in Louisiana, we have state NOL carryforwards of $1.8 billion that do not expire. We file a consolidated tax return in the United States federal jurisdiction. We file separate company state income tax returns in Louisiana and Pennsylvania and file consolidated or unitary state income tax returns in Oklahoma, Texas and West Virginia. We are subject to U.S. federal income tax examinations for the years 2022 and after, and we are subject to various state tax examinations for years 2020 and after. We have not extended the statute of limitation period in any income tax jurisdiction. Our policy is to recognize interest related to income tax expense in interest expense and penalties in general and administrative expense. We do not have any material accrued interest or penalties related to tax amounts as of December 31, 2025 or December 31, 2024. Throughout 2025, 2024 and 2023, our unrecognized tax benefits were not material.</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On July 12, 2022, the Commonwealth of Pennsylvania enacted legislation to reduce the corporate net income tax rate from 9.99% to 8.99% in 2023, further reducing by 0.5% per year beginning in 2024, and becoming 4.99% in 2031 and each year thereafter.</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Significant components of deferred tax assets and liabilities are as follows (in thousands): </w:t>
      </w:r>
    </w:p>
    <w:tbl>
      <w:tblPr>
        <w:tblW w:w="6428" w:type="dxa"/>
        <w:jc w:val="left"/>
        <w:tblInd w:w="0" w:type="dxa"/>
        <w:tblLayout w:type="fixed"/>
        <w:tblCellMar>
          <w:top w:w="28" w:type="dxa"/>
          <w:left w:w="28" w:type="dxa"/>
          <w:bottom w:w="28" w:type="dxa"/>
          <w:right w:w="28" w:type="dxa"/>
        </w:tblCellMar>
      </w:tblPr>
      <w:tblGrid>
        <w:gridCol w:w="2901"/>
        <w:gridCol w:w="211"/>
        <w:gridCol w:w="991"/>
        <w:gridCol w:w="166"/>
        <w:gridCol w:w="146"/>
        <w:gridCol w:w="211"/>
        <w:gridCol w:w="991"/>
        <w:gridCol w:w="811"/>
      </w:tblGrid>
      <w:tr>
        <w:trPr/>
        <w:tc>
          <w:tcPr>
            <w:tcW w:w="29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Deferred tax assets:</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operating loss carryforward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365,293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424,487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Divestiture contract obligation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87,311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compensation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14,480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 compensation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Asset retirement obligations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29,096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carryforward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right-of-use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26,726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credits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31,941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Valuation allowances:</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State, net of federal benefit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(124,979</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deferred tax assets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450,683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513,925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Deferred tax liabilities:</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depletion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(1,099,729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(1,010,139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mark-to-market gain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(14,568</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right-of-use assets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(26,065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deferred tax liabilities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(1,152,284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(1,051,303</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deferred tax liability</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(701,601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(537,378</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pPr>
      <w:r>
        <w:rPr/>
        <w:t> </w:t>
      </w:r>
    </w:p>
    <w:p>
      <w:pPr>
        <w:pStyle w:val="TextBody"/>
        <w:bidi w:val="0"/>
        <w:spacing w:before="60" w:after="180"/>
        <w:jc w:val="left"/>
        <w:rPr>
          <w:rFonts w:ascii="Times New Roman" w:hAnsi="Times New Roman"/>
          <w:b/>
          <w:color w:val="000000"/>
          <w:sz w:val="20"/>
        </w:rPr>
      </w:pPr>
      <w:bookmarkStart w:id="61" w:name="note_5"/>
      <w:bookmarkEnd w:id="61"/>
      <w:r>
        <w:rPr>
          <w:rFonts w:ascii="Times New Roman" w:hAnsi="Times New Roman"/>
          <w:b/>
          <w:color w:val="000000"/>
          <w:sz w:val="20"/>
        </w:rPr>
        <w:t>(5) NET INCOME PER COMMON SHARE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Basic income per share attributable to common stockholders is computed as (i) income attributable to common stockholders (ii) less income allocable to participating securities (iii) divided by weighted average basic shares outstanding. Diluted income per share attributable to common stockholders is computed as (i) basic income attributable to common stockholders (ii) plus diluted adjustments to income allocable to participating securities (iii) divided by weighted average diluted shares outstanding. Diluted net income per share is calculated under both the two class method and the treasury stock method and the more dilutive of the two calculations is presented. The following table sets forth a reconciliation of net income to basic income or loss attributable to common stockholders and to diluted income or loss attributable to common stockholders (in thousands except per share amounts): </w:t>
      </w:r>
    </w:p>
    <w:p>
      <w:pPr>
        <w:pStyle w:val="TextBody"/>
        <w:bidi w:val="0"/>
        <w:jc w:val="left"/>
        <w:rPr/>
      </w:pPr>
      <w:r>
        <w:rPr/>
        <w:t> </w:t>
      </w:r>
    </w:p>
    <w:tbl>
      <w:tblPr>
        <w:tblW w:w="8752" w:type="dxa"/>
        <w:jc w:val="left"/>
        <w:tblInd w:w="0" w:type="dxa"/>
        <w:tblLayout w:type="fixed"/>
        <w:tblCellMar>
          <w:top w:w="28" w:type="dxa"/>
          <w:left w:w="28" w:type="dxa"/>
          <w:bottom w:w="28" w:type="dxa"/>
          <w:right w:w="28" w:type="dxa"/>
        </w:tblCellMar>
      </w:tblPr>
      <w:tblGrid>
        <w:gridCol w:w="4561"/>
        <w:gridCol w:w="211"/>
        <w:gridCol w:w="781"/>
        <w:gridCol w:w="166"/>
        <w:gridCol w:w="146"/>
        <w:gridCol w:w="211"/>
        <w:gridCol w:w="781"/>
        <w:gridCol w:w="166"/>
        <w:gridCol w:w="146"/>
        <w:gridCol w:w="211"/>
        <w:gridCol w:w="781"/>
        <w:gridCol w:w="591"/>
      </w:tblGrid>
      <w:tr>
        <w:trPr/>
        <w:tc>
          <w:tcPr>
            <w:tcW w:w="45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0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as reported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658,024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266,340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871,142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Participating basic earnings </w:t>
            </w:r>
            <w:r>
              <w:rPr>
                <w:rFonts w:ascii="Times New Roman" w:hAnsi="Times New Roman"/>
                <w:color w:val="000000"/>
                <w:sz w:val="13"/>
              </w:rPr>
              <w:t>(a)</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net income attributed to common stockholders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656,726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265,042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856,171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Reallocation of participating earnings </w:t>
            </w:r>
            <w:r>
              <w:rPr>
                <w:rFonts w:ascii="Times New Roman" w:hAnsi="Times New Roman"/>
                <w:color w:val="000000"/>
                <w:sz w:val="13"/>
              </w:rPr>
              <w:t>(a)</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net income attributed to common stockholders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656,735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265,050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856,330</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per common share:</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Basic</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9"/>
        <w:gridCol w:w="9966"/>
      </w:tblGrid>
      <w:tr>
        <w:trPr/>
        <w:tc>
          <w:tcPr>
            <w:tcW w:w="239" w:type="dxa"/>
            <w:tcBorders/>
            <w:vAlign w:val="center"/>
          </w:tcPr>
          <w:p>
            <w:pPr>
              <w:pStyle w:val="TableContents"/>
              <w:bidi w:val="0"/>
              <w:spacing w:before="0" w:after="283"/>
              <w:jc w:val="left"/>
              <w:rPr>
                <w:sz w:val="4"/>
                <w:szCs w:val="4"/>
              </w:rPr>
            </w:pPr>
            <w:r>
              <w:rPr>
                <w:sz w:val="4"/>
                <w:szCs w:val="4"/>
              </w:rPr>
            </w:r>
          </w:p>
        </w:tc>
        <w:tc>
          <w:tcPr>
            <w:tcW w:w="9966" w:type="dxa"/>
            <w:tcBorders/>
            <w:vAlign w:val="center"/>
          </w:tcPr>
          <w:p>
            <w:pPr>
              <w:pStyle w:val="TableContents"/>
              <w:bidi w:val="0"/>
              <w:spacing w:before="0" w:after="283"/>
              <w:jc w:val="left"/>
              <w:rPr>
                <w:sz w:val="4"/>
                <w:szCs w:val="4"/>
              </w:rPr>
            </w:pPr>
            <w:r>
              <w:rPr>
                <w:sz w:val="4"/>
                <w:szCs w:val="4"/>
              </w:rPr>
            </w:r>
          </w:p>
        </w:tc>
      </w:tr>
      <w:tr>
        <w:trPr/>
        <w:tc>
          <w:tcPr>
            <w:tcW w:w="2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w:t>
            </w:r>
          </w:p>
        </w:tc>
        <w:tc>
          <w:tcPr>
            <w:tcW w:w="9966" w:type="dxa"/>
            <w:tcBorders/>
            <w:tcMar>
              <w:top w:w="0" w:type="dxa"/>
              <w:left w:w="0" w:type="dxa"/>
              <w:bottom w:w="0" w:type="dxa"/>
              <w:right w:w="0" w:type="dxa"/>
            </w:tcMar>
            <w:vAlign w:val="center"/>
          </w:tcPr>
          <w:p>
            <w:pPr>
              <w:pStyle w:val="TableContents"/>
              <w:bidi w:val="0"/>
              <w:spacing w:before="0" w:after="283"/>
              <w:jc w:val="left"/>
              <w:rPr/>
            </w:pPr>
            <w:r>
              <w:rPr>
                <w:rFonts w:ascii="Times New Roman" w:hAnsi="Times New Roman"/>
                <w:color w:val="000000"/>
                <w:sz w:val="18"/>
              </w:rPr>
              <w:t xml:space="preserve">Restricted stock Liability-Classified Awards represent participating securities (discussed in </w:t>
            </w:r>
            <w:hyperlink w:anchor="note_10">
              <w:r>
                <w:rPr>
                  <w:rStyle w:val="InternetLink"/>
                  <w:rFonts w:ascii="Times New Roman" w:hAnsi="Times New Roman"/>
                  <w:color w:val="0000FF"/>
                  <w:sz w:val="18"/>
                  <w:u w:val="single"/>
                </w:rPr>
                <w:t>Note 10</w:t>
              </w:r>
            </w:hyperlink>
            <w:r>
              <w:rPr>
                <w:rFonts w:ascii="Times New Roman" w:hAnsi="Times New Roman"/>
                <w:color w:val="000000"/>
                <w:sz w:val="18"/>
              </w:rPr>
              <w:t xml:space="preserve">) because they participate in nonforfeitable dividends or distributions with common equity owners. Income allocable to participating securities represents the distributed and undistributed earnings attributable to the participating securities. Participating securities, however, do not participate in undistributed net losses.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The following table details basic weighted average common shares outstanding and diluted weighted average common shares outstanding (in thousands): </w:t>
      </w:r>
    </w:p>
    <w:tbl>
      <w:tblPr>
        <w:tblW w:w="8437" w:type="dxa"/>
        <w:jc w:val="left"/>
        <w:tblInd w:w="0" w:type="dxa"/>
        <w:tblLayout w:type="fixed"/>
        <w:tblCellMar>
          <w:top w:w="28" w:type="dxa"/>
          <w:left w:w="28" w:type="dxa"/>
          <w:bottom w:w="28" w:type="dxa"/>
          <w:right w:w="28" w:type="dxa"/>
        </w:tblCellMar>
      </w:tblPr>
      <w:tblGrid>
        <w:gridCol w:w="4681"/>
        <w:gridCol w:w="146"/>
        <w:gridCol w:w="781"/>
        <w:gridCol w:w="146"/>
        <w:gridCol w:w="146"/>
        <w:gridCol w:w="146"/>
        <w:gridCol w:w="781"/>
        <w:gridCol w:w="146"/>
        <w:gridCol w:w="146"/>
        <w:gridCol w:w="146"/>
        <w:gridCol w:w="781"/>
        <w:gridCol w:w="391"/>
      </w:tblGrid>
      <w:tr>
        <w:trPr/>
        <w:tc>
          <w:tcPr>
            <w:tcW w:w="4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237,943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240,689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236,986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Effect of dilutive securities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 – diluted</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239,789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242,745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239,837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40"/>
        <w:jc w:val="left"/>
        <w:rPr>
          <w:rFonts w:ascii="Times New Roman" w:hAnsi="Times New Roman"/>
          <w:color w:val="000000"/>
          <w:sz w:val="20"/>
        </w:rPr>
      </w:pPr>
      <w:r>
        <w:rPr>
          <w:rFonts w:ascii="Times New Roman" w:hAnsi="Times New Roman"/>
          <w:color w:val="000000"/>
          <w:sz w:val="20"/>
        </w:rPr>
        <w:t>Weighted average common shares outstanding – basic excludes 471,000 shares of restricted stock Liability-Classified Awards held in our deferred compensation plans (although all awards are issued and outstanding upon grant) for the period ended December 31, 2025 compared to 1.2 million shares for the period ended December 31, 2024 and 4.1 million shares for the period ended December 31, 2023. Equity grants of 5,000 shares for the year ended December 31, 2025, no shares for the year ended December 31, 2024 and 3,000 shares for the year ended December 31, 2023 were outstanding but not included in the computation of diluted net income because the grant prices were greater than the average market price of the common shares and would be anti-dilutive to the computations.</w:t>
      </w:r>
    </w:p>
    <w:p>
      <w:pPr>
        <w:pStyle w:val="TextBody"/>
        <w:bidi w:val="0"/>
        <w:spacing w:before="0" w:after="180"/>
        <w:jc w:val="left"/>
        <w:rPr>
          <w:rFonts w:ascii="Times New Roman" w:hAnsi="Times New Roman"/>
          <w:b/>
          <w:color w:val="000000"/>
          <w:sz w:val="20"/>
        </w:rPr>
      </w:pPr>
      <w:bookmarkStart w:id="62" w:name="note_6"/>
      <w:bookmarkEnd w:id="62"/>
      <w:r>
        <w:rPr>
          <w:rFonts w:ascii="Times New Roman" w:hAnsi="Times New Roman"/>
          <w:b/>
          <w:color w:val="000000"/>
          <w:sz w:val="20"/>
        </w:rPr>
        <w:t>(6) DEBT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had the following debt outstanding as of the dates shown below. No interest was capitalized in the three-year period ended December 31, 2025. The components of our debt outstanding, including the effects of debt issuance costs, are as follows (in thousands):</w:t>
      </w:r>
    </w:p>
    <w:tbl>
      <w:tblPr>
        <w:tblW w:w="6758" w:type="dxa"/>
        <w:jc w:val="left"/>
        <w:tblInd w:w="0" w:type="dxa"/>
        <w:tblLayout w:type="fixed"/>
        <w:tblCellMar>
          <w:top w:w="28" w:type="dxa"/>
          <w:left w:w="28" w:type="dxa"/>
          <w:bottom w:w="28" w:type="dxa"/>
          <w:right w:w="28" w:type="dxa"/>
        </w:tblCellMar>
      </w:tblPr>
      <w:tblGrid>
        <w:gridCol w:w="3551"/>
        <w:gridCol w:w="211"/>
        <w:gridCol w:w="931"/>
        <w:gridCol w:w="166"/>
        <w:gridCol w:w="146"/>
        <w:gridCol w:w="211"/>
        <w:gridCol w:w="931"/>
        <w:gridCol w:w="611"/>
      </w:tblGrid>
      <w:tr>
        <w:trPr/>
        <w:tc>
          <w:tcPr>
            <w:tcW w:w="35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Bank debt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Senior notes:</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4.875% senior notes due 2025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608,702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8.25% senior notes due 2029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4.75% senior notes due 2030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senior notes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1,708,702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debt issuance costs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debt, net of debt issuance costs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1,198,334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1,697,883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maturities of long-term debt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(608,269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long-term debt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1,198,334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1,089,614</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sz w:val="20"/>
        </w:rPr>
      </w:pPr>
      <w:r>
        <w:rPr>
          <w:rFonts w:ascii="Times New Roman" w:hAnsi="Times New Roman"/>
          <w:b/>
          <w:color w:val="000000"/>
          <w:sz w:val="20"/>
        </w:rPr>
        <w:t>Bank Debt</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On October 2, 2025, we entered into an amended and restated revolving bank facility (which we refer to as our bank debt or our bank credit facility) which is secured by substantially all of our assets and has a maturity date of October 2, 2030. The bank credit facility provides for a maximum facility amount of $4.0 billion, an initial borrowing base of $3.0 billion and lender commitments of $2.0 billion. The bank credit facility provides for a borrowing base subject to annual re-determinations and for event-driven unscheduled re-determinations. Our current bank group is composed of seventeen financial institutions. The borrowing base may be increased or decreased based on our request and sufficient proved reserves, as determined by the bank group. The commitment amount may be increased to the borrowing base, subject to payment of a mutually acceptable commitment fee to those banks agreeing to participate in the facility increase. Borrowings under the bank facility can either be at the alternate base rate ("ABR," as defined in the bank credit agreement) plus a spread ranging from 0.75% to 1.75% or at the secured overnight financing rate ("SOFR", as defined in the bank credit agreement) plus a spread ranging from 1.75% to 2.75%. The applicable spread is dependent upon borrowings relative to the borrowing base. We may elect, from time to time, to convert all or any part of our SOFR loans to ABR loans or to convert all or any part of our ABR loans to SOFR loans. A commitment fee is paid on the undrawn balance based on an annual rate of 0.375% to 0.50%. At December 31, 2025, the commitment fee was 0.375% and the interest rate margin was 0.75% on our ABR loans and 1.75% on our SOFR loans. Our weighted average interest rate on the bank credit facility was 6.2% for the year ended December 31, 2025 and 8.4% for the year ended December 31, 2023. There was no debt outstanding on our bank credit facility for the year ended December 31, 2024.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On December 31, 2025, bank commitments totaled $2.0 billion and we had $118.0 million outstanding borrowings under our bank credit facility. We had $165.2 million of undrawn letters of credit leaving $1.7 billion of committed borrowing capacity available under the facility.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Senior Notes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If we experience a change of control, noteholders may require us to repurchase all or a portion of our senior notes at 101% of the principal amount plus accrued and unpaid interest, if any. We currently intend to retire our outstanding long-term debt as it matures, is callable or when market conditions are favorable to repurchase in the open market.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During 2025, we repurchased in the open market $2.2 million principal amount of our 4.875% senior notes due 2025 at a discount. We recognized a gain on early extinguishment of debt of $3,000, net of the remaining debt issuance costs on the repurchased debt. In May 2025, we paid off the remaining principal balance of our 4.875% senior notes due 2025 at par by utilizing cash on hand and by borrowing on our bank credit facility.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On January 15, 2026 we fully redeemed the $600 million principal balance of our 8.25% senior notes due 2029 by utilizing borrowings on our credit facility. The redemption price was equal to 101.375% of par plus accrued and unpaid interest. In first quarter 2026 we expect to recognize an approximate $12.3 million loss on extinguishment of debt that includes transaction call premium costs as well as expensing the remaining unamortized debt issuance costs on the repurchased debt. </w:t>
      </w:r>
    </w:p>
    <w:p>
      <w:pPr>
        <w:pStyle w:val="TextBody"/>
        <w:bidi w:val="0"/>
        <w:spacing w:before="0" w:after="180"/>
        <w:jc w:val="left"/>
        <w:rPr>
          <w:rFonts w:ascii="Times New Roman" w:hAnsi="Times New Roman"/>
          <w:sz w:val="20"/>
        </w:rPr>
      </w:pPr>
      <w:r>
        <w:rPr>
          <w:rFonts w:ascii="Times New Roman" w:hAnsi="Times New Roman"/>
          <w:b/>
          <w:color w:val="000000"/>
          <w:sz w:val="20"/>
        </w:rPr>
        <w:t>Guarantees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Range Resources Corporation is a holding company which owns no operating assets and has no significant operations independent of its subsidiaries. The guarantees by our wholly-owned subsidiaries, which are directly or indirectly owned by Range, of our senior notes and our bank credit facility are full and unconditional and joint and several, subject to certain customary release provisions. The assets, liabilities and results of operations of Range and our guarantor subsidiaries are not materially different than our consolidated financial statements. A subsidiary guarantor may be released from its obligations under the guarantee: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the event of a sale or other disposition of all or substantially all of the assets of the subsidiary guarantor or a sale or other disposition of all the capital stock of the subsidiary guarantor, to any corporation or other person (including an unrestricted subsidiary of Range) by way of merger, consolidation, or otherwise; or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if Range designates any restricted subsidiary that is a guarantor to be an unrestricted subsidiary in accordance with the terms of the indenture. </w:t>
      </w:r>
    </w:p>
    <w:p>
      <w:pPr>
        <w:pStyle w:val="TextBody"/>
        <w:bidi w:val="0"/>
        <w:spacing w:before="60" w:after="180"/>
        <w:jc w:val="left"/>
        <w:rPr>
          <w:rFonts w:ascii="Times New Roman" w:hAnsi="Times New Roman"/>
          <w:sz w:val="20"/>
        </w:rPr>
      </w:pPr>
      <w:r>
        <w:rPr>
          <w:rFonts w:ascii="Times New Roman" w:hAnsi="Times New Roman"/>
          <w:b/>
          <w:color w:val="000000"/>
          <w:sz w:val="20"/>
        </w:rPr>
        <w:t>Debt Covenants and Maturity</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Our bank credit facility contains negative covenants that limit our ability, among other things, to pay cash dividends, incur additional indebtedness, sell assets, enter into certain hedging contracts, change the nature of our business or operations, merge, consolidate, or make certain investments. We are required to maintain a ratio of debt-to-EBITDAX (as defined in the credit agreement) of less than or equal to 3.75x and a minimum current ratio (as defined in the credit agreement) of 1.0x. We were in compliance with applicable covenants under the bank credit facility at December 31, 2025.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following is the principal maturity schedule, excluding debt issuance costs, for our long-term debt outstanding as of December 31, 2025 (in thousands): </w:t>
      </w:r>
    </w:p>
    <w:p>
      <w:pPr>
        <w:pStyle w:val="TextBody"/>
        <w:bidi w:val="0"/>
        <w:jc w:val="left"/>
        <w:rPr/>
      </w:pPr>
      <w:r>
        <w:rPr/>
        <w:t> </w:t>
      </w:r>
    </w:p>
    <w:tbl>
      <w:tblPr>
        <w:tblW w:w="1874" w:type="dxa"/>
        <w:jc w:val="left"/>
        <w:tblInd w:w="0" w:type="dxa"/>
        <w:tblLayout w:type="fixed"/>
        <w:tblCellMar>
          <w:top w:w="28" w:type="dxa"/>
          <w:left w:w="28" w:type="dxa"/>
          <w:bottom w:w="28" w:type="dxa"/>
          <w:right w:w="28" w:type="dxa"/>
        </w:tblCellMar>
      </w:tblPr>
      <w:tblGrid>
        <w:gridCol w:w="541"/>
        <w:gridCol w:w="211"/>
        <w:gridCol w:w="931"/>
        <w:gridCol w:w="191"/>
      </w:tblGrid>
      <w:tr>
        <w:trPr/>
        <w:tc>
          <w:tcPr>
            <w:tcW w:w="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w:t>
              <w:b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618,000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1,218,000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b/>
          <w:color w:val="000000"/>
          <w:sz w:val="20"/>
        </w:rPr>
      </w:pPr>
      <w:bookmarkStart w:id="63" w:name="note_7"/>
      <w:bookmarkEnd w:id="63"/>
      <w:r>
        <w:rPr>
          <w:rFonts w:ascii="Times New Roman" w:hAnsi="Times New Roman"/>
          <w:b/>
          <w:color w:val="000000"/>
          <w:sz w:val="20"/>
        </w:rPr>
        <w:t>(7) ASSET RETIREMENT OBLIGATIONS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following is a reconciliation of our liability for plugging and abandonment costs as of December 31, 2025 and 2024 (in thousands):</w:t>
      </w:r>
    </w:p>
    <w:tbl>
      <w:tblPr>
        <w:tblW w:w="6063" w:type="dxa"/>
        <w:jc w:val="left"/>
        <w:tblInd w:w="0" w:type="dxa"/>
        <w:tblLayout w:type="fixed"/>
        <w:tblCellMar>
          <w:top w:w="28" w:type="dxa"/>
          <w:left w:w="28" w:type="dxa"/>
          <w:bottom w:w="28" w:type="dxa"/>
          <w:right w:w="28" w:type="dxa"/>
        </w:tblCellMar>
      </w:tblPr>
      <w:tblGrid>
        <w:gridCol w:w="3256"/>
        <w:gridCol w:w="211"/>
        <w:gridCol w:w="781"/>
        <w:gridCol w:w="166"/>
        <w:gridCol w:w="146"/>
        <w:gridCol w:w="211"/>
        <w:gridCol w:w="781"/>
        <w:gridCol w:w="511"/>
      </w:tblGrid>
      <w:tr>
        <w:trPr/>
        <w:tc>
          <w:tcPr>
            <w:tcW w:w="32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of period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117,429</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Liabilities incurred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3,871</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Liabilities settled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(4,655</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Accretion expense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7,148</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Change in estimate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9,974</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 of period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133,767</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Less current portion</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asset retirement obligations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132,578</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180"/>
        <w:jc w:val="left"/>
        <w:rPr>
          <w:rFonts w:ascii="Times New Roman" w:hAnsi="Times New Roman"/>
          <w:color w:val="000000"/>
          <w:sz w:val="20"/>
        </w:rPr>
      </w:pPr>
      <w:r>
        <w:rPr>
          <w:rFonts w:ascii="Times New Roman" w:hAnsi="Times New Roman"/>
          <w:color w:val="000000"/>
          <w:sz w:val="20"/>
        </w:rPr>
        <w:t xml:space="preserve">Accretion expense is recognized within depreciation, depletion and amortization expense in the accompanying consolidated statements of income. </w:t>
      </w:r>
    </w:p>
    <w:p>
      <w:pPr>
        <w:pStyle w:val="TextBody"/>
        <w:bidi w:val="0"/>
        <w:spacing w:before="60" w:after="283"/>
        <w:jc w:val="left"/>
        <w:rPr>
          <w:rFonts w:ascii="Times New Roman" w:hAnsi="Times New Roman"/>
          <w:b/>
          <w:color w:val="000000"/>
          <w:sz w:val="20"/>
        </w:rPr>
      </w:pPr>
      <w:bookmarkStart w:id="64" w:name="note_8"/>
      <w:bookmarkEnd w:id="64"/>
      <w:r>
        <w:rPr>
          <w:rFonts w:ascii="Times New Roman" w:hAnsi="Times New Roman"/>
          <w:b/>
          <w:color w:val="000000"/>
          <w:sz w:val="20"/>
        </w:rPr>
        <w:t>(8) DERIVATIVE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the derivative volumes and fair values by expiration year as of December 31, 2025, excluding our basis swaps which are discussed separately below. All fair values presented in the table (in thousands) utilize Level 2 inputs, except where noted:</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146"/>
        <w:gridCol w:w="1369"/>
        <w:gridCol w:w="146"/>
        <w:gridCol w:w="1680"/>
        <w:gridCol w:w="146"/>
        <w:gridCol w:w="211"/>
        <w:gridCol w:w="146"/>
        <w:gridCol w:w="466"/>
        <w:gridCol w:w="146"/>
        <w:gridCol w:w="146"/>
        <w:gridCol w:w="211"/>
        <w:gridCol w:w="146"/>
        <w:gridCol w:w="466"/>
        <w:gridCol w:w="146"/>
        <w:gridCol w:w="146"/>
        <w:gridCol w:w="211"/>
        <w:gridCol w:w="146"/>
        <w:gridCol w:w="466"/>
        <w:gridCol w:w="146"/>
        <w:gridCol w:w="146"/>
        <w:gridCol w:w="211"/>
        <w:gridCol w:w="146"/>
        <w:gridCol w:w="466"/>
        <w:gridCol w:w="146"/>
        <w:gridCol w:w="146"/>
        <w:gridCol w:w="214"/>
        <w:gridCol w:w="690"/>
        <w:gridCol w:w="194"/>
      </w:tblGrid>
      <w:tr>
        <w:trPr/>
        <w:tc>
          <w:tcPr>
            <w:tcW w:w="11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Contract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Volume Hedged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57" w:type="dxa"/>
            <w:gridSpan w:val="1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 Average Hedge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Swap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Sold Put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Floor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Ceiling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6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Natural Gas </w:t>
            </w:r>
            <w:r>
              <w:rPr>
                <w:rFonts w:ascii="Times New Roman" w:hAnsi="Times New Roman"/>
                <w:b/>
                <w:color w:val="000000"/>
                <w:sz w:val="13"/>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6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300,000 Mmbtu/day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36,479</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6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Collars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50,000 Mmbtu/day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6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Three-way Collars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137,123 Mmbtu/day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19,273</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6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Swaps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240,000 Mmbtu/day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14,152</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6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Three-way Collars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80,000 Mmbtu/day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3,715</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6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Collars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20,000 Mmbtu/day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2"/>
        <w:gridCol w:w="9963"/>
      </w:tblGrid>
      <w:tr>
        <w:trPr/>
        <w:tc>
          <w:tcPr>
            <w:tcW w:w="242" w:type="dxa"/>
            <w:tcBorders/>
            <w:vAlign w:val="center"/>
          </w:tcPr>
          <w:p>
            <w:pPr>
              <w:pStyle w:val="TableContents"/>
              <w:bidi w:val="0"/>
              <w:spacing w:before="0" w:after="283"/>
              <w:jc w:val="left"/>
              <w:rPr>
                <w:sz w:val="4"/>
                <w:szCs w:val="4"/>
              </w:rPr>
            </w:pPr>
            <w:r>
              <w:rPr>
                <w:sz w:val="4"/>
                <w:szCs w:val="4"/>
              </w:rPr>
            </w:r>
          </w:p>
        </w:tc>
        <w:tc>
          <w:tcPr>
            <w:tcW w:w="9963" w:type="dxa"/>
            <w:tcBorders/>
            <w:vAlign w:val="center"/>
          </w:tcPr>
          <w:p>
            <w:pPr>
              <w:pStyle w:val="TableContents"/>
              <w:bidi w:val="0"/>
              <w:spacing w:before="0" w:after="283"/>
              <w:jc w:val="left"/>
              <w:rPr>
                <w:sz w:val="4"/>
                <w:szCs w:val="4"/>
              </w:rPr>
            </w:pPr>
            <w:r>
              <w:rPr>
                <w:sz w:val="4"/>
                <w:szCs w:val="4"/>
              </w:rPr>
            </w:r>
          </w:p>
        </w:tc>
      </w:tr>
      <w:tr>
        <w:trPr/>
        <w:tc>
          <w:tcPr>
            <w:tcW w:w="2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w:t>
            </w:r>
          </w:p>
        </w:tc>
        <w:tc>
          <w:tcPr>
            <w:tcW w:w="99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We also sold natural gas call swaptions of 40,000</w:t>
            </w:r>
            <w:r>
              <w:rPr>
                <w:rFonts w:ascii="Times New Roman" w:hAnsi="Times New Roman"/>
                <w:color w:val="000000"/>
                <w:sz w:val="20"/>
              </w:rPr>
              <w:t> </w:t>
            </w:r>
            <w:r>
              <w:rPr>
                <w:rFonts w:ascii="Times New Roman" w:hAnsi="Times New Roman"/>
                <w:color w:val="000000"/>
                <w:sz w:val="18"/>
              </w:rPr>
              <w:t>Mmbtu/day for calendar year 2027 at a weighted average price of $4.06/Mmbtu that expire through May 2026. The fair value of these contracts as of December 31, 2025, which utilizes Level 3 inputs, was a net derivative liability of $603,000. These contracts are not included in the table above.</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Derivatives in Level 2 are measured at fair value with a market approach using third-party pricing services, which have been corroborated with data from active markets or broker quotes. Derivatives in Level 3 use the same approach, but will also utilize unobservable pricing inputs that are significant to overall value. </w:t>
      </w:r>
    </w:p>
    <w:p>
      <w:pPr>
        <w:pStyle w:val="TextBody"/>
        <w:bidi w:val="0"/>
        <w:spacing w:before="0" w:after="180"/>
        <w:jc w:val="left"/>
        <w:rPr>
          <w:rFonts w:ascii="Times New Roman" w:hAnsi="Times New Roman"/>
          <w:sz w:val="20"/>
        </w:rPr>
      </w:pPr>
      <w:r>
        <w:rPr>
          <w:rFonts w:ascii="Times New Roman" w:hAnsi="Times New Roman"/>
          <w:b/>
          <w:color w:val="000000"/>
          <w:sz w:val="20"/>
        </w:rPr>
        <w:t>Basis Swap Contracts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to the commodity derivatives described above, at December 31, 2025, we had natural gas basis swap contracts which lock in the differential between NYMEX and certain of our physical pricing points in Appalachia. These contracts settle monthly through December 2029 and include a total volume of 161,290,000 Mmbtu. The fair value of these contracts, which utilizes Level 2 inputs, was a net derivative liability of $8.1 million as of December 31, 2025.</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sz w:val="20"/>
        </w:rPr>
      </w:pPr>
      <w:r>
        <w:rPr>
          <w:rFonts w:ascii="Times New Roman" w:hAnsi="Times New Roman"/>
          <w:b/>
          <w:color w:val="000000"/>
          <w:sz w:val="20"/>
        </w:rPr>
        <w:t>Derivative Assets and Liabilities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combined fair value of derivatives included in the accompanying consolidated balance sheets as of December 31, 2025 and 2024 is summarized below (in thousands). The assets and liabilities are netted where derivatives with both gain and loss positions are held by a single counterparty and we have master netting arrangements.</w:t>
      </w:r>
    </w:p>
    <w:p>
      <w:pPr>
        <w:pStyle w:val="TextBody"/>
        <w:bidi w:val="0"/>
        <w:jc w:val="left"/>
        <w:rPr/>
      </w:pPr>
      <w:r>
        <w:rPr/>
        <w:t> </w:t>
      </w:r>
    </w:p>
    <w:tbl>
      <w:tblPr>
        <w:tblW w:w="8309" w:type="dxa"/>
        <w:jc w:val="left"/>
        <w:tblInd w:w="0" w:type="dxa"/>
        <w:tblLayout w:type="fixed"/>
        <w:tblCellMar>
          <w:top w:w="28" w:type="dxa"/>
          <w:left w:w="28" w:type="dxa"/>
          <w:bottom w:w="28" w:type="dxa"/>
          <w:right w:w="28" w:type="dxa"/>
        </w:tblCellMar>
      </w:tblPr>
      <w:tblGrid>
        <w:gridCol w:w="5506"/>
        <w:gridCol w:w="254"/>
        <w:gridCol w:w="886"/>
        <w:gridCol w:w="166"/>
        <w:gridCol w:w="146"/>
        <w:gridCol w:w="242"/>
        <w:gridCol w:w="898"/>
        <w:gridCol w:w="211"/>
      </w:tblGrid>
      <w:tr>
        <w:trPr/>
        <w:tc>
          <w:tcPr>
            <w:tcW w:w="550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b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Derivative assets:</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amounts of recognized assets</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112,359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amounts offset in the consolidated balance sheets</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(25,261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amounts of assets presented in the consolidated balance sheets</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87,098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8744" w:type="dxa"/>
        <w:jc w:val="left"/>
        <w:tblInd w:w="0" w:type="dxa"/>
        <w:tblLayout w:type="fixed"/>
        <w:tblCellMar>
          <w:top w:w="28" w:type="dxa"/>
          <w:left w:w="28" w:type="dxa"/>
          <w:bottom w:w="28" w:type="dxa"/>
          <w:right w:w="28" w:type="dxa"/>
        </w:tblCellMar>
      </w:tblPr>
      <w:tblGrid>
        <w:gridCol w:w="5941"/>
        <w:gridCol w:w="254"/>
        <w:gridCol w:w="886"/>
        <w:gridCol w:w="166"/>
        <w:gridCol w:w="146"/>
        <w:gridCol w:w="254"/>
        <w:gridCol w:w="886"/>
        <w:gridCol w:w="211"/>
      </w:tblGrid>
      <w:tr>
        <w:trPr/>
        <w:tc>
          <w:tcPr>
            <w:tcW w:w="594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b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Derivative (liabilities):</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amounts of recognized (liabilities)</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(45,383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amounts offset in the consolidated balance sheets</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25,261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amounts of (liabilities) presented in the consolidated balance sheets</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(20,122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80" w:after="180"/>
        <w:jc w:val="left"/>
        <w:rPr>
          <w:rFonts w:ascii="Times New Roman" w:hAnsi="Times New Roman"/>
          <w:sz w:val="20"/>
        </w:rPr>
      </w:pPr>
      <w:r>
        <w:rPr>
          <w:rFonts w:ascii="Times New Roman" w:hAnsi="Times New Roman"/>
          <w:b/>
          <w:color w:val="000000"/>
          <w:sz w:val="20"/>
        </w:rPr>
        <w:t>Derivative Fair Value Income</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effects of our derivatives on our consolidated statements of income for the last three years are summarized below (in thousands):</w:t>
      </w:r>
    </w:p>
    <w:p>
      <w:pPr>
        <w:pStyle w:val="TextBody"/>
        <w:bidi w:val="0"/>
        <w:jc w:val="left"/>
        <w:rPr/>
      </w:pPr>
      <w:r>
        <w:rPr/>
        <w:t> </w:t>
      </w:r>
    </w:p>
    <w:tbl>
      <w:tblPr>
        <w:tblW w:w="6892" w:type="dxa"/>
        <w:jc w:val="left"/>
        <w:tblInd w:w="0" w:type="dxa"/>
        <w:tblLayout w:type="fixed"/>
        <w:tblCellMar>
          <w:top w:w="28" w:type="dxa"/>
          <w:left w:w="28" w:type="dxa"/>
          <w:bottom w:w="28" w:type="dxa"/>
          <w:right w:w="28" w:type="dxa"/>
        </w:tblCellMar>
      </w:tblPr>
      <w:tblGrid>
        <w:gridCol w:w="3106"/>
        <w:gridCol w:w="211"/>
        <w:gridCol w:w="781"/>
        <w:gridCol w:w="146"/>
        <w:gridCol w:w="146"/>
        <w:gridCol w:w="211"/>
        <w:gridCol w:w="676"/>
        <w:gridCol w:w="166"/>
        <w:gridCol w:w="146"/>
        <w:gridCol w:w="211"/>
        <w:gridCol w:w="781"/>
        <w:gridCol w:w="311"/>
      </w:tblGrid>
      <w:tr>
        <w:trPr/>
        <w:tc>
          <w:tcPr>
            <w:tcW w:w="31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w:t>
              <w:br/>
              <w:t>December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Natural gas derivatives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814,113</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NGLs derivatives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Oil derivatives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12,121</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Divestiture contingent consideration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derivative fair value income</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821,154</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80" w:after="180"/>
        <w:jc w:val="left"/>
        <w:rPr>
          <w:rFonts w:ascii="Times New Roman" w:hAnsi="Times New Roman"/>
          <w:b/>
          <w:color w:val="000000"/>
          <w:sz w:val="20"/>
        </w:rPr>
      </w:pPr>
      <w:bookmarkStart w:id="65" w:name="note_9"/>
      <w:bookmarkEnd w:id="65"/>
      <w:r>
        <w:rPr>
          <w:rFonts w:ascii="Times New Roman" w:hAnsi="Times New Roman"/>
          <w:b/>
          <w:color w:val="000000"/>
          <w:sz w:val="20"/>
        </w:rPr>
        <w:t>(9) FAIR VALUE MEASUREMENTS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use a market approach for our recurring fair value measurements and endeavor to use the best information available. Accordingly, valuation techniques that maximize the use of observable inputs are favored. As of December 31, 2025, a portion of our natural gas instruments contain swaptions (Level 3 inputs) where the counterparty has the right, but not the obligation, to enter into a fixed price swap on a pre-determined date. If exercised, the swaption contract becomes a swap treated consistently with our fixed-price swaps. At December 31, 2025, we used a weighted average implied volatility of 15% for our swaptions. The following is a reconciliation of the beginning and ending balances for derivative instruments classified as Level 3 in the fair value hierarchy (in thousands):</w:t>
      </w:r>
    </w:p>
    <w:tbl>
      <w:tblPr>
        <w:tblW w:w="4947" w:type="dxa"/>
        <w:jc w:val="left"/>
        <w:tblInd w:w="0" w:type="dxa"/>
        <w:tblLayout w:type="fixed"/>
        <w:tblCellMar>
          <w:top w:w="28" w:type="dxa"/>
          <w:left w:w="28" w:type="dxa"/>
          <w:bottom w:w="28" w:type="dxa"/>
          <w:right w:w="28" w:type="dxa"/>
        </w:tblCellMar>
      </w:tblPr>
      <w:tblGrid>
        <w:gridCol w:w="2991"/>
        <w:gridCol w:w="344"/>
        <w:gridCol w:w="1201"/>
        <w:gridCol w:w="411"/>
      </w:tblGrid>
      <w:tr>
        <w:trPr/>
        <w:tc>
          <w:tcPr>
            <w:tcW w:w="29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w:t>
              <w:br/>
              <w:t>December 31,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2024</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losses included in earnings</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Additions</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Settlements</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Transfers</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3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The following table presents the carrying amounts and the fair values of our financial instruments as of December 31, 2025 and 2024 (in thousands): </w:t>
      </w:r>
    </w:p>
    <w:tbl>
      <w:tblPr>
        <w:tblW w:w="8531" w:type="dxa"/>
        <w:jc w:val="left"/>
        <w:tblInd w:w="0" w:type="dxa"/>
        <w:tblLayout w:type="fixed"/>
        <w:tblCellMar>
          <w:top w:w="28" w:type="dxa"/>
          <w:left w:w="28" w:type="dxa"/>
          <w:bottom w:w="28" w:type="dxa"/>
          <w:right w:w="28" w:type="dxa"/>
        </w:tblCellMar>
      </w:tblPr>
      <w:tblGrid>
        <w:gridCol w:w="2976"/>
        <w:gridCol w:w="211"/>
        <w:gridCol w:w="841"/>
        <w:gridCol w:w="166"/>
        <w:gridCol w:w="146"/>
        <w:gridCol w:w="211"/>
        <w:gridCol w:w="841"/>
        <w:gridCol w:w="166"/>
        <w:gridCol w:w="146"/>
        <w:gridCol w:w="211"/>
        <w:gridCol w:w="841"/>
        <w:gridCol w:w="166"/>
        <w:gridCol w:w="146"/>
        <w:gridCol w:w="211"/>
        <w:gridCol w:w="841"/>
        <w:gridCol w:w="411"/>
      </w:tblGrid>
      <w:tr>
        <w:trPr/>
        <w:tc>
          <w:tcPr>
            <w:tcW w:w="29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Carrying</w:t>
              <w:br/>
              <w:t>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w:t>
              <w:br/>
              <w:t>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Carrying</w:t>
              <w:br/>
              <w:t>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w:t>
              <w:br/>
              <w:t>Value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Commodity derivatives </w:t>
            </w:r>
            <w:r>
              <w:rPr>
                <w:rFonts w:ascii="Times New Roman" w:hAnsi="Times New Roman"/>
                <w:color w:val="000000"/>
                <w:sz w:val="13"/>
              </w:rPr>
              <w:t>(a)</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87,098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Marketable securities </w:t>
            </w:r>
            <w:r>
              <w:rPr>
                <w:rFonts w:ascii="Times New Roman" w:hAnsi="Times New Roman"/>
                <w:color w:val="000000"/>
                <w:sz w:val="13"/>
              </w:rPr>
              <w:t>(b)</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60,989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Commodity derivatives </w:t>
            </w:r>
            <w:r>
              <w:rPr>
                <w:rFonts w:ascii="Times New Roman" w:hAnsi="Times New Roman"/>
                <w:color w:val="000000"/>
                <w:sz w:val="13"/>
              </w:rPr>
              <w:t>(a)</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(20,122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Bank credit facility </w:t>
            </w:r>
            <w:r>
              <w:rPr>
                <w:rFonts w:ascii="Times New Roman" w:hAnsi="Times New Roman"/>
                <w:color w:val="000000"/>
                <w:sz w:val="13"/>
              </w:rPr>
              <w:t>(c)</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4.875% senior notes due 2025 </w:t>
            </w:r>
            <w:r>
              <w:rPr>
                <w:rFonts w:ascii="Times New Roman" w:hAnsi="Times New Roman"/>
                <w:color w:val="000000"/>
                <w:sz w:val="13"/>
              </w:rPr>
              <w:t>(c)</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(608,702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(607,363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8.25% senior notes due 2029 </w:t>
            </w:r>
            <w:r>
              <w:rPr>
                <w:rFonts w:ascii="Times New Roman" w:hAnsi="Times New Roman"/>
                <w:color w:val="000000"/>
                <w:sz w:val="13"/>
              </w:rPr>
              <w:t>(c)</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(609,186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(618,114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4.75% senior notes due 2030 </w:t>
            </w:r>
            <w:r>
              <w:rPr>
                <w:rFonts w:ascii="Times New Roman" w:hAnsi="Times New Roman"/>
                <w:color w:val="000000"/>
                <w:sz w:val="13"/>
              </w:rPr>
              <w:t>(c)</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(493,895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(469,285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Deferred compensation plan </w:t>
            </w:r>
            <w:r>
              <w:rPr>
                <w:rFonts w:ascii="Times New Roman" w:hAnsi="Times New Roman"/>
                <w:color w:val="000000"/>
                <w:sz w:val="13"/>
              </w:rPr>
              <w:t>(d)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(86,882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2"/>
        </w:rPr>
        <w:t xml:space="preserve">(a) </w:t>
      </w:r>
      <w:r>
        <w:rPr>
          <w:rFonts w:ascii="Times New Roman" w:hAnsi="Times New Roman"/>
          <w:color w:val="000000"/>
          <w:sz w:val="18"/>
        </w:rPr>
        <w:t>Fair values for commodity derivatives utilize Level 2 inputs with the exception of swaptions, which utilize Level 3 inputs.</w:t>
      </w:r>
    </w:p>
    <w:p>
      <w:pPr>
        <w:pStyle w:val="TextBody"/>
        <w:bidi w:val="0"/>
        <w:jc w:val="left"/>
        <w:rPr>
          <w:rFonts w:ascii="Times New Roman" w:hAnsi="Times New Roman"/>
          <w:sz w:val="20"/>
        </w:rPr>
      </w:pPr>
      <w:r>
        <w:rPr>
          <w:rFonts w:ascii="Times New Roman" w:hAnsi="Times New Roman"/>
          <w:color w:val="000000"/>
          <w:sz w:val="12"/>
        </w:rPr>
        <w:t xml:space="preserve">(b) </w:t>
      </w:r>
      <w:r>
        <w:rPr>
          <w:rFonts w:ascii="Times New Roman" w:hAnsi="Times New Roman"/>
          <w:color w:val="000000"/>
          <w:sz w:val="18"/>
        </w:rPr>
        <w:t>Marketable securities, which are held in our deferred compensation plans, are actively traded on major exchanges, which is a Level 1 input.</w:t>
      </w:r>
    </w:p>
    <w:p>
      <w:pPr>
        <w:pStyle w:val="TextBody"/>
        <w:bidi w:val="0"/>
        <w:jc w:val="left"/>
        <w:rPr>
          <w:rFonts w:ascii="Times New Roman" w:hAnsi="Times New Roman"/>
          <w:sz w:val="20"/>
        </w:rPr>
      </w:pPr>
      <w:r>
        <w:rPr>
          <w:rFonts w:ascii="Times New Roman" w:hAnsi="Times New Roman"/>
          <w:color w:val="000000"/>
          <w:sz w:val="12"/>
        </w:rPr>
        <w:t xml:space="preserve">(c) </w:t>
      </w:r>
      <w:r>
        <w:rPr>
          <w:rFonts w:ascii="Times New Roman" w:hAnsi="Times New Roman"/>
          <w:color w:val="000000"/>
          <w:sz w:val="18"/>
        </w:rPr>
        <w:t>The book value of our bank debt approximates fair value because of its floating rate structure. The fair value of our senior notes is based on end of period market quotes. Debt is presented on the balance sheet at carrying value.</w:t>
      </w:r>
    </w:p>
    <w:p>
      <w:pPr>
        <w:pStyle w:val="TextBody"/>
        <w:bidi w:val="0"/>
        <w:jc w:val="left"/>
        <w:rPr>
          <w:rFonts w:ascii="Times New Roman" w:hAnsi="Times New Roman"/>
          <w:sz w:val="20"/>
        </w:rPr>
      </w:pPr>
      <w:r>
        <w:rPr>
          <w:rFonts w:ascii="Times New Roman" w:hAnsi="Times New Roman"/>
          <w:color w:val="000000"/>
          <w:sz w:val="12"/>
        </w:rPr>
        <w:t xml:space="preserve">(d) </w:t>
      </w:r>
      <w:r>
        <w:rPr>
          <w:rFonts w:ascii="Times New Roman" w:hAnsi="Times New Roman"/>
          <w:color w:val="000000"/>
          <w:sz w:val="18"/>
        </w:rPr>
        <w:t>The fair value of our deferred compensation plan is updated to the closing price on the balance sheet date, which is a Level 1 input.</w:t>
      </w:r>
    </w:p>
    <w:p>
      <w:pPr>
        <w:pStyle w:val="TextBody"/>
        <w:bidi w:val="0"/>
        <w:spacing w:before="360" w:after="180"/>
        <w:jc w:val="left"/>
        <w:rPr/>
      </w:pPr>
      <w:r>
        <w:rPr>
          <w:rFonts w:ascii="Times New Roman" w:hAnsi="Times New Roman"/>
          <w:color w:val="000000"/>
          <w:sz w:val="20"/>
        </w:rPr>
        <w:t xml:space="preserve">Our current assets and liabilities contain financial instruments, the most significant of which are trade accounts receivables and payables. We believe the carrying values of our current assets and liabilities approximate fair value. Our fair value assessment incorporates a variety of considerations, including (1) the short-term duration of the instruments and (2) our historical incurrence of and expected future insignificance of bad debt expense. Non-financial liabilities initially measured at fair value include asset retirement obligations, operating lease liabilities and the divestiture contract obligation that we incurred in conjunction with the sale of our North Louisiana assets. See </w:t>
      </w:r>
      <w:hyperlink w:anchor="note_8">
        <w:r>
          <w:rPr>
            <w:rStyle w:val="InternetLink"/>
            <w:rFonts w:ascii="Times New Roman" w:hAnsi="Times New Roman"/>
            <w:color w:val="0000FF"/>
            <w:sz w:val="20"/>
            <w:u w:val="single"/>
          </w:rPr>
          <w:t>Note 8</w:t>
        </w:r>
      </w:hyperlink>
      <w:r>
        <w:rPr>
          <w:rFonts w:ascii="Times New Roman" w:hAnsi="Times New Roman"/>
          <w:color w:val="000000"/>
          <w:sz w:val="20"/>
        </w:rPr>
        <w:t xml:space="preserve"> for information regarding the fair value of derivative instruments and </w:t>
      </w:r>
      <w:hyperlink w:anchor="note_10">
        <w:r>
          <w:rPr>
            <w:rStyle w:val="InternetLink"/>
            <w:rFonts w:ascii="Times New Roman" w:hAnsi="Times New Roman"/>
            <w:color w:val="0000FF"/>
            <w:sz w:val="20"/>
            <w:u w:val="single"/>
          </w:rPr>
          <w:t>Note 10</w:t>
        </w:r>
      </w:hyperlink>
      <w:r>
        <w:rPr>
          <w:rFonts w:ascii="Times New Roman" w:hAnsi="Times New Roman"/>
          <w:color w:val="000000"/>
          <w:sz w:val="20"/>
        </w:rPr>
        <w:t xml:space="preserve"> for information regarding the fair value of stock-based compensation awards. </w:t>
      </w:r>
    </w:p>
    <w:p>
      <w:pPr>
        <w:pStyle w:val="TextBody"/>
        <w:bidi w:val="0"/>
        <w:spacing w:before="0" w:after="180"/>
        <w:jc w:val="left"/>
        <w:rPr>
          <w:rFonts w:ascii="Times New Roman" w:hAnsi="Times New Roman"/>
          <w:b/>
          <w:color w:val="000000"/>
          <w:sz w:val="20"/>
        </w:rPr>
      </w:pPr>
      <w:bookmarkStart w:id="66" w:name="note_10"/>
      <w:bookmarkEnd w:id="66"/>
      <w:r>
        <w:rPr>
          <w:rFonts w:ascii="Times New Roman" w:hAnsi="Times New Roman"/>
          <w:b/>
          <w:color w:val="000000"/>
          <w:sz w:val="20"/>
        </w:rPr>
        <w:t>(10) STOCK-BASED COMPENSATION PLANS</w:t>
      </w:r>
    </w:p>
    <w:p>
      <w:pPr>
        <w:pStyle w:val="TextBody"/>
        <w:bidi w:val="0"/>
        <w:spacing w:before="0" w:after="180"/>
        <w:jc w:val="left"/>
        <w:rPr>
          <w:rFonts w:ascii="Times New Roman" w:hAnsi="Times New Roman"/>
          <w:sz w:val="20"/>
        </w:rPr>
      </w:pPr>
      <w:r>
        <w:rPr>
          <w:rFonts w:ascii="Times New Roman" w:hAnsi="Times New Roman"/>
          <w:b/>
          <w:color w:val="000000"/>
          <w:sz w:val="20"/>
        </w:rPr>
        <w:t>Description of the Plans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We have two active equity-based stock compensation plans, our Amended and Restated 2005 Equity-Based Compensation Plan and the Amended and Restated 2019 Equity-Based Compensation Plan. Under these plans, various awards may be issued to non-employee directors and employees pursuant to decisions of the compensation committee, which is composed of only non-employee, independent directors. We currently award time-based and performance-based stock awards.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Time-Based Stock Awards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We grant time-based restricted stock awards to employees and non-employee directors. Awards made to non-officer employees generally vest ratably over a three-year period while officer awards vest at the end of the three-year period. The vesting of these awards are contingent on the recipient’s continued employment with us. Awards made to non-employee directors vest at the end of a one-year period and full vesting is contingent on the recipient's continued service as a non-employee director.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These time-based restricted stock awards can have two different types of accounting treatment, depending on whether they are placed into our deferred compensation plan (see further discussion below on the deferred compensation plan). The majority of the time-based restricted stock awards are classified as equity awards ("Equity Awards") as these awards are settled in stock upon vesting. A limited number of time-based restricted stock awards were placed into the deferred compensation plan upon grant prior to 2023 and are referred to as Liability Awards. Upon vesting, withdrawals are allowed in either cash or stock. Non-employee directors can elect to contribute their time-based stock awards to the deferred compensation plan at the time of grant. Awards that are elected to be contributed to the deferred compensation plan are accounted for using liability-classified award accounting. </w:t>
      </w:r>
    </w:p>
    <w:p>
      <w:pPr>
        <w:pStyle w:val="TextBody"/>
        <w:bidi w:val="0"/>
        <w:spacing w:before="0" w:after="180"/>
        <w:jc w:val="left"/>
        <w:rPr>
          <w:rFonts w:ascii="Times New Roman" w:hAnsi="Times New Roman"/>
          <w:sz w:val="20"/>
        </w:rPr>
      </w:pPr>
      <w:r>
        <w:rPr>
          <w:rFonts w:ascii="Times New Roman" w:hAnsi="Times New Roman"/>
          <w:b/>
          <w:i/>
          <w:color w:val="000000"/>
          <w:sz w:val="20"/>
        </w:rPr>
        <w:t xml:space="preserve">Equity-Classified Awards. </w:t>
      </w:r>
      <w:r>
        <w:rPr>
          <w:rFonts w:ascii="Times New Roman" w:hAnsi="Times New Roman"/>
          <w:color w:val="000000"/>
          <w:sz w:val="20"/>
        </w:rPr>
        <w:t>Equity Awards are expensed ratably over the service period associated with the award based on the fair value of the awards. The grant date fair value of all Equity Awards is based on prevailing market prices on the date of grant. Most Equity Awards earn dividends prior to vesting that are payable in cash upon vesting. These dividends are forfeited and not paid if the associated shares do not vest.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We recorded compensation expense for the restricted stock Equity Awards of $38.0 million in the year ended December 31, 2025 compared to $34.9 million in 2024 and $31.6 million in 2023. The vesting date fair value of restricted stock Equity Awards which vested during 2025, 2024 and 2023 was $37.1 million, $35.7 million and $31.9 million, respectively. As of December 31, 2025, there was $37.7 million of unrecognized compensation related to restricted stock Equity Awards expected to be recognized over a weighted average period of 1.7 years. These awards are not issued until such time as they are vested. Grantees do not have the option to receive cash. </w:t>
      </w:r>
    </w:p>
    <w:p>
      <w:pPr>
        <w:pStyle w:val="TextBody"/>
        <w:bidi w:val="0"/>
        <w:spacing w:before="0" w:after="180"/>
        <w:jc w:val="left"/>
        <w:rPr>
          <w:rFonts w:ascii="Times New Roman" w:hAnsi="Times New Roman"/>
          <w:sz w:val="20"/>
        </w:rPr>
      </w:pPr>
      <w:r>
        <w:rPr>
          <w:rFonts w:ascii="Times New Roman" w:hAnsi="Times New Roman"/>
          <w:b/>
          <w:i/>
          <w:color w:val="000000"/>
          <w:sz w:val="20"/>
        </w:rPr>
        <w:t xml:space="preserve">Liability-Classified Awards. </w:t>
      </w:r>
      <w:r>
        <w:rPr>
          <w:rFonts w:ascii="Times New Roman" w:hAnsi="Times New Roman"/>
          <w:color w:val="000000"/>
          <w:sz w:val="20"/>
        </w:rPr>
        <w:t xml:space="preserve">Liability Awards are recognized ratably over the service period associated with the award based on the fair value of the awards on the date of grant. The grant date fair value of Liability Awards is based on prevailing market prices at the time of the grant. Prior to vesting, restricted stock Liability Awards recipients have the right to receive dividends thereon. These restricted stock Liability Awards are classified as a liability and are re-measured at fair value each reporting period. This mark-to-market amount is reported in deferred compensation plan expense in the accompanying consolidated statements of income (see additional discussion below).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We recorded compensation expense for these outstanding restricted stock Liability Awards of $242,000 in the year ended December 31, 2025 compared to $1.4 million in 2024 and $4.0 million in 2023. The vesting date fair value of these restricted stock Liability Awards which vested during 2025, 2024 and 2023 was $509,000, $2.1 million and $4.3 million, respectively. As of December 31, 2025, there was no unrecognized compensation related to restricted stock Liability Awards expected to be recognized.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Performance-Based Stock Awards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grant performance-based stock units to employee officers based on market conditions measured related to Range’s performance relative to a predetermined peer group ("TSR Awards"). These awards vest at the end of a three-year performance period and full vesting is dependent on the recipient's continued employment with us. Prior to 2023, the Company also granted internal-metric performance units ("internal-metric awards") based on performance conditions measured against internal performance metrics. These awards vest at the end of the three year period. We refer to the combined group of performance-based stock awards as "PSUs" or "performance-based stock awards."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Each unit granted represents one share of our common stock. These units are settled in stock and the amount of the payout percentage, which can range from zero to 200%, is determined based on (i) the total return on our common stock during the performance period compared to our peers for TSR Awards and (ii) the internal performance metrics achieved which is approved by the compensation committee for the internal-metric awards. Dividend equivalents accrue during the performance period and are paid in stock at the end of the performance period. The performance period is three years. </w:t>
      </w:r>
    </w:p>
    <w:p>
      <w:pPr>
        <w:pStyle w:val="TextBody"/>
        <w:bidi w:val="0"/>
        <w:spacing w:before="0" w:after="180"/>
        <w:jc w:val="left"/>
        <w:rPr>
          <w:rFonts w:ascii="Times New Roman" w:hAnsi="Times New Roman"/>
          <w:sz w:val="20"/>
        </w:rPr>
      </w:pPr>
      <w:r>
        <w:rPr>
          <w:rFonts w:ascii="Times New Roman" w:hAnsi="Times New Roman"/>
          <w:b/>
          <w:i/>
          <w:color w:val="000000"/>
          <w:sz w:val="20"/>
        </w:rPr>
        <w:t>TSR Awards.</w:t>
      </w:r>
      <w:r>
        <w:rPr>
          <w:rFonts w:ascii="Times New Roman" w:hAnsi="Times New Roman"/>
          <w:color w:val="000000"/>
          <w:sz w:val="20"/>
        </w:rPr>
        <w:t xml:space="preserve"> These awards are earned, or not earned, based on the comparative performance of Range’s common stock measured against a predetermined group of companies in the peer group over a three-year performance period. The fair value of the TSR awards is estimated on the date of grant using a Monte Carlo simulation model which utilizes multiple input variables that determine the probability of satisfying the market condition stipulated in the award grant and calculates the fair value of the award. The fair value is recognized as stock-based compensation expense over the three-year performance period. Expected volatilities utilized in the model were estimated using a historical period consistent with the remaining performance period of three years. The risk-free interest rate was based on the United States Treasury note rate for a term commensurate with the life of the grant. The following assumptions were used to estimate the fair value of the TSR awards granted during the years ended December 31, 2025, 2024 and 2023:</w:t>
      </w:r>
    </w:p>
    <w:tbl>
      <w:tblPr>
        <w:tblW w:w="6088" w:type="dxa"/>
        <w:jc w:val="left"/>
        <w:tblInd w:w="0" w:type="dxa"/>
        <w:tblLayout w:type="fixed"/>
        <w:tblCellMar>
          <w:top w:w="28" w:type="dxa"/>
          <w:left w:w="28" w:type="dxa"/>
          <w:bottom w:w="28" w:type="dxa"/>
          <w:right w:w="28" w:type="dxa"/>
        </w:tblCellMar>
      </w:tblPr>
      <w:tblGrid>
        <w:gridCol w:w="2446"/>
        <w:gridCol w:w="146"/>
        <w:gridCol w:w="211"/>
        <w:gridCol w:w="571"/>
        <w:gridCol w:w="271"/>
        <w:gridCol w:w="146"/>
        <w:gridCol w:w="211"/>
        <w:gridCol w:w="571"/>
        <w:gridCol w:w="271"/>
        <w:gridCol w:w="146"/>
        <w:gridCol w:w="211"/>
        <w:gridCol w:w="571"/>
        <w:gridCol w:w="316"/>
      </w:tblGrid>
      <w:tr>
        <w:trPr/>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annual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 date fair value per unit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180"/>
        <w:jc w:val="left"/>
        <w:rPr>
          <w:rFonts w:ascii="Times New Roman" w:hAnsi="Times New Roman"/>
          <w:color w:val="000000"/>
          <w:sz w:val="20"/>
        </w:rPr>
      </w:pPr>
      <w:r>
        <w:rPr>
          <w:rFonts w:ascii="Times New Roman" w:hAnsi="Times New Roman"/>
          <w:color w:val="000000"/>
          <w:sz w:val="20"/>
        </w:rPr>
        <w:t>In 2025, we granted 220,000 TSR awards as compensation to employee executives which vest at the end of a three-year period compared to 254,000 in 2024 and 64,000 in 2023. We recorded TSR award compensation expense of $6.0 million in the year ended December 31, 2025 compared to $3.9 million in 2024 and $1.7 million in 2023. As of December 31, 2025, there was $9.0 million of unrecognized compensation related to these TSR awards to be recognized over a weighted average period of 1.8 years.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sz w:val="20"/>
        </w:rPr>
      </w:pPr>
      <w:r>
        <w:rPr>
          <w:rFonts w:ascii="Times New Roman" w:hAnsi="Times New Roman"/>
          <w:b/>
          <w:color w:val="000000"/>
          <w:sz w:val="20"/>
        </w:rPr>
        <w:t>Total Stock-Based Compensation Expense</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Stock-based compensation represents amortization of time-based stock awards and performance-based stock awards. The following details the allocation of stock-based compensation to functional expense categories for each of the years in the three-year period ended December 31, 2025 (in thousands): </w:t>
      </w:r>
    </w:p>
    <w:p>
      <w:pPr>
        <w:pStyle w:val="TextBody"/>
        <w:bidi w:val="0"/>
        <w:spacing w:before="120" w:after="283"/>
        <w:jc w:val="left"/>
        <w:rPr/>
      </w:pPr>
      <w:r>
        <w:rPr/>
        <w:t> </w:t>
      </w:r>
    </w:p>
    <w:tbl>
      <w:tblPr>
        <w:tblW w:w="7357" w:type="dxa"/>
        <w:jc w:val="left"/>
        <w:tblInd w:w="0" w:type="dxa"/>
        <w:tblLayout w:type="fixed"/>
        <w:tblCellMar>
          <w:top w:w="28" w:type="dxa"/>
          <w:left w:w="28" w:type="dxa"/>
          <w:bottom w:w="28" w:type="dxa"/>
          <w:right w:w="28" w:type="dxa"/>
        </w:tblCellMar>
      </w:tblPr>
      <w:tblGrid>
        <w:gridCol w:w="3721"/>
        <w:gridCol w:w="211"/>
        <w:gridCol w:w="676"/>
        <w:gridCol w:w="146"/>
        <w:gridCol w:w="146"/>
        <w:gridCol w:w="211"/>
        <w:gridCol w:w="676"/>
        <w:gridCol w:w="146"/>
        <w:gridCol w:w="146"/>
        <w:gridCol w:w="211"/>
        <w:gridCol w:w="676"/>
        <w:gridCol w:w="391"/>
      </w:tblGrid>
      <w:tr>
        <w:trPr/>
        <w:tc>
          <w:tcPr>
            <w:tcW w:w="37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w:t>
              <w:b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operating expense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Brokered natural gas and marketing expense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Exploration expense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35,850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40,918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180"/>
        <w:jc w:val="left"/>
        <w:rPr>
          <w:rFonts w:ascii="Times New Roman" w:hAnsi="Times New Roman"/>
          <w:color w:val="000000"/>
          <w:sz w:val="20"/>
        </w:rPr>
      </w:pPr>
      <w:r>
        <w:rPr>
          <w:rFonts w:ascii="Times New Roman" w:hAnsi="Times New Roman"/>
          <w:color w:val="000000"/>
          <w:sz w:val="20"/>
        </w:rPr>
        <w:t>The mark-to-market adjustment of the liability related to the vested restricted stock Liability Awards held in our deferred compensation plan is directly tied to the change in our stock price and is not related to functional expenses and, therefore, is not allocated to the functional categories above.</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Stock Awards Summary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following is a summary of the activity for our time-based and performance-based restricted stock awards for the two years ended December 31, 2025 and 2024:</w:t>
      </w:r>
    </w:p>
    <w:tbl>
      <w:tblPr>
        <w:tblW w:w="10205" w:type="dxa"/>
        <w:jc w:val="left"/>
        <w:tblInd w:w="0" w:type="dxa"/>
        <w:tblLayout w:type="fixed"/>
        <w:tblCellMar>
          <w:top w:w="28" w:type="dxa"/>
          <w:left w:w="28" w:type="dxa"/>
          <w:bottom w:w="28" w:type="dxa"/>
          <w:right w:w="28" w:type="dxa"/>
        </w:tblCellMar>
      </w:tblPr>
      <w:tblGrid>
        <w:gridCol w:w="2152"/>
        <w:gridCol w:w="146"/>
        <w:gridCol w:w="991"/>
        <w:gridCol w:w="166"/>
        <w:gridCol w:w="146"/>
        <w:gridCol w:w="298"/>
        <w:gridCol w:w="813"/>
        <w:gridCol w:w="146"/>
        <w:gridCol w:w="146"/>
        <w:gridCol w:w="146"/>
        <w:gridCol w:w="736"/>
        <w:gridCol w:w="166"/>
        <w:gridCol w:w="146"/>
        <w:gridCol w:w="298"/>
        <w:gridCol w:w="813"/>
        <w:gridCol w:w="146"/>
        <w:gridCol w:w="146"/>
        <w:gridCol w:w="146"/>
        <w:gridCol w:w="841"/>
        <w:gridCol w:w="166"/>
        <w:gridCol w:w="146"/>
        <w:gridCol w:w="298"/>
        <w:gridCol w:w="813"/>
        <w:gridCol w:w="194"/>
      </w:tblGrid>
      <w:tr>
        <w:trPr/>
        <w:tc>
          <w:tcPr>
            <w:tcW w:w="21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Time-Based</w:t>
              <w:br/>
              <w:t>Equity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Time-Based</w:t>
              <w:br/>
              <w:t>Liability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Performance-Based</w:t>
              <w:br/>
              <w:t>Stock Awards</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w:t>
              <w:br/>
              <w:t>Average Grant</w:t>
              <w:br/>
              <w:t>Date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w:t>
              <w:br/>
              <w:t>Average Grant</w:t>
              <w:br/>
              <w:t>Date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Number </w:t>
              <w:br/>
              <w:t xml:space="preserve">of Units </w:t>
            </w:r>
            <w:r>
              <w:rPr>
                <w:rFonts w:ascii="Times New Roman" w:hAnsi="Times New Roman"/>
                <w:b/>
                <w:color w:val="000000"/>
                <w:sz w:val="12"/>
              </w:rPr>
              <w:t>(a)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w:t>
              <w:br/>
              <w:t>Average Grant</w:t>
              <w:br/>
              <w:t>Date Fair Value</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1,473,805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937,582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17.01</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1,275,533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254,195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31.84</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(1,455,086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(526,918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1,275,962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664,859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27.45</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1,055,576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220,266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44.39</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(1,180,625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(264,917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23.55</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1,104,628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620,208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35.13</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4"/>
        <w:gridCol w:w="9961"/>
      </w:tblGrid>
      <w:tr>
        <w:trPr/>
        <w:tc>
          <w:tcPr>
            <w:tcW w:w="244" w:type="dxa"/>
            <w:tcBorders/>
            <w:vAlign w:val="center"/>
          </w:tcPr>
          <w:p>
            <w:pPr>
              <w:pStyle w:val="TableContents"/>
              <w:bidi w:val="0"/>
              <w:spacing w:before="0" w:after="283"/>
              <w:jc w:val="left"/>
              <w:rPr>
                <w:sz w:val="4"/>
                <w:szCs w:val="4"/>
              </w:rPr>
            </w:pPr>
            <w:r>
              <w:rPr>
                <w:sz w:val="4"/>
                <w:szCs w:val="4"/>
              </w:rPr>
            </w:r>
          </w:p>
        </w:tc>
        <w:tc>
          <w:tcPr>
            <w:tcW w:w="9961" w:type="dxa"/>
            <w:tcBorders/>
            <w:vAlign w:val="center"/>
          </w:tcPr>
          <w:p>
            <w:pPr>
              <w:pStyle w:val="TableContents"/>
              <w:bidi w:val="0"/>
              <w:spacing w:before="0" w:after="283"/>
              <w:jc w:val="left"/>
              <w:rPr>
                <w:sz w:val="4"/>
                <w:szCs w:val="4"/>
              </w:rPr>
            </w:pPr>
            <w:r>
              <w:rPr>
                <w:sz w:val="4"/>
                <w:szCs w:val="4"/>
              </w:rPr>
            </w:r>
          </w:p>
        </w:tc>
      </w:tr>
      <w:tr>
        <w:trPr/>
        <w:tc>
          <w:tcPr>
            <w:tcW w:w="2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w:t>
            </w:r>
          </w:p>
        </w:tc>
        <w:tc>
          <w:tcPr>
            <w:tcW w:w="9961"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sz w:val="20"/>
              </w:rPr>
            </w:pPr>
            <w:r>
              <w:rPr>
                <w:rFonts w:ascii="Times New Roman" w:hAnsi="Times New Roman"/>
                <w:color w:val="000000"/>
                <w:sz w:val="18"/>
              </w:rPr>
              <w:t>Amounts granted reflect performance units initially granted. The actual payout will be between zero</w:t>
            </w:r>
            <w:r>
              <w:rPr>
                <w:rFonts w:ascii="Times New Roman" w:hAnsi="Times New Roman"/>
                <w:color w:val="000000"/>
                <w:sz w:val="20"/>
              </w:rPr>
              <w:t> </w:t>
            </w:r>
            <w:r>
              <w:rPr>
                <w:rFonts w:ascii="Times New Roman" w:hAnsi="Times New Roman"/>
                <w:color w:val="000000"/>
                <w:sz w:val="18"/>
              </w:rPr>
              <w:t>and 200% depending on achievement of either total stockholder return ranking compared to our peers at the vesting date (TSR awards) or on the achievement of internal performance targets (internal performance metric awards).</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In 2025, we recorded an additional tax benefit of an estimated $4.4 million for the tax effect of financial accounting expense compared to the corporate income tax deduction for equity compensation that vested during the year compared to additional tax benefit of $5.2 million in 2024 and additional tax benefit of $10.6 million in 2023.</w:t>
      </w:r>
    </w:p>
    <w:p>
      <w:pPr>
        <w:pStyle w:val="TextBody"/>
        <w:bidi w:val="0"/>
        <w:spacing w:before="0" w:after="180"/>
        <w:jc w:val="left"/>
        <w:rPr>
          <w:rFonts w:ascii="Times New Roman" w:hAnsi="Times New Roman"/>
          <w:sz w:val="20"/>
        </w:rPr>
      </w:pPr>
      <w:r>
        <w:rPr>
          <w:rFonts w:ascii="Times New Roman" w:hAnsi="Times New Roman"/>
          <w:b/>
          <w:color w:val="000000"/>
          <w:sz w:val="20"/>
        </w:rPr>
        <w:t>401(k) Plan</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We maintain a 401(k) benefit plan that allows employees to contribute up to 75% of their salary and bonus on an annual basis (subject to Internal Revenue Service limitations) on a pretax basis. We match, dollar for dollar, in cash up to 6% of each participant's contribution and vesting of those contributions is immediate. In 2025, we contributed $5.7 million to the 401(k) Plan compared to $5.5 million in 2024 and $5.2 million in 2023. Employees have a variety of investment options in the 401(k) benefit plan including investing in Range common stock.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Deferred Compensation Plan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Our deferred compensation plan gives directors, officers and key employees the ability to defer all or a portion of their salaries and bonuses and invest in Range common stock (as described above under Liability Awards) or make other investments at the individual’s discretion. Range provides a partial matching contribution which vests at the end of three years and can be made in either cash or stock. Any stock contributed through the salary or bonus deferral match are treated as Liability Awards as described above. The assets of the plans are held in trading securities or as stock in a grantor trust, which we refer to as the Rabbi Trust, and are therefore available to satisfy the claims of our creditors in the event of bankruptcy or insolvency.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Our trading securities held in the deferred compensation plan are exchange traded and are accounted for using the mark-to-market accounting method valued at fair value each reporting period utilizing Level 1 inputs. They are included in other assets in the accompanying consolidated balance sheets. We elected to adopt the fair value option to simplify our accounting for the investments in our deferred compensation plan. Interest, dividends, and mark-to-market gains or losses are included in deferred compensation plan expense in the accompanying consolidated statements of income. For the year ended December 31, 2025, interest and dividends were $1.1 million and mark-to-market was a gain of $3.8 million. For the year ended December 31, 2024, interest and dividends were $1.3 million and mark-to-market was a gain of $4.5 million. For the year ended December 31, 2023, interest and dividends were $1.6 million and mark-to-market was a gain of $7.8 million. </w:t>
      </w:r>
    </w:p>
    <w:p>
      <w:pPr>
        <w:pStyle w:val="TextBody"/>
        <w:bidi w:val="0"/>
        <w:spacing w:before="0" w:after="180"/>
        <w:jc w:val="left"/>
        <w:rPr>
          <w:rFonts w:ascii="Times New Roman" w:hAnsi="Times New Roman"/>
          <w:sz w:val="20"/>
        </w:rPr>
      </w:pPr>
      <w:r>
        <w:rPr>
          <w:rFonts w:ascii="Times New Roman" w:hAnsi="Times New Roman"/>
          <w:color w:val="000000"/>
          <w:sz w:val="20"/>
        </w:rPr>
        <w:t>Our stock held in the Rabbi Trust is treated as a liability award as employees are allowed to take withdrawals from the Rabbi Trust either in cash or in Range stock. The liability for the vested portion of the stock held in the Rabbi Trust is reflected in the deferred compensation liability in the accompanying consolidated balance sheets and is adjusted to fair value each reporting period by a charge or credit to deferred compensation plan expense on our consolidated statements of income. We recorded a mark-to-market loss of $1.4</w:t>
      </w:r>
      <w:r>
        <w:rPr>
          <w:rFonts w:ascii="Times New Roman" w:hAnsi="Times New Roman"/>
          <w:color w:val="000000"/>
          <w:sz w:val="24"/>
        </w:rPr>
        <w:t xml:space="preserve"> </w:t>
      </w:r>
      <w:r>
        <w:rPr>
          <w:rFonts w:ascii="Times New Roman" w:hAnsi="Times New Roman"/>
          <w:color w:val="000000"/>
          <w:sz w:val="20"/>
        </w:rPr>
        <w:t>million</w:t>
      </w:r>
      <w:r>
        <w:rPr>
          <w:rFonts w:ascii="Times New Roman" w:hAnsi="Times New Roman"/>
          <w:color w:val="000000"/>
          <w:sz w:val="24"/>
        </w:rPr>
        <w:t xml:space="preserve"> </w:t>
      </w:r>
      <w:r>
        <w:rPr>
          <w:rFonts w:ascii="Times New Roman" w:hAnsi="Times New Roman"/>
          <w:color w:val="000000"/>
          <w:sz w:val="20"/>
        </w:rPr>
        <w:t>in 2025 compared to a loss of $9.6</w:t>
      </w:r>
      <w:r>
        <w:rPr>
          <w:rFonts w:ascii="Times New Roman" w:hAnsi="Times New Roman"/>
          <w:color w:val="000000"/>
          <w:sz w:val="24"/>
        </w:rPr>
        <w:t xml:space="preserve"> </w:t>
      </w:r>
      <w:r>
        <w:rPr>
          <w:rFonts w:ascii="Times New Roman" w:hAnsi="Times New Roman"/>
          <w:color w:val="000000"/>
          <w:sz w:val="20"/>
        </w:rPr>
        <w:t>million</w:t>
      </w:r>
      <w:r>
        <w:rPr>
          <w:rFonts w:ascii="Times New Roman" w:hAnsi="Times New Roman"/>
          <w:color w:val="000000"/>
          <w:sz w:val="24"/>
        </w:rPr>
        <w:t xml:space="preserve"> </w:t>
      </w:r>
      <w:r>
        <w:rPr>
          <w:rFonts w:ascii="Times New Roman" w:hAnsi="Times New Roman"/>
          <w:color w:val="000000"/>
          <w:sz w:val="20"/>
        </w:rPr>
        <w:t>in 2024 and a loss of $26.6</w:t>
      </w:r>
      <w:r>
        <w:rPr>
          <w:rFonts w:ascii="Times New Roman" w:hAnsi="Times New Roman"/>
          <w:color w:val="000000"/>
          <w:sz w:val="24"/>
        </w:rPr>
        <w:t xml:space="preserve"> </w:t>
      </w:r>
      <w:r>
        <w:rPr>
          <w:rFonts w:ascii="Times New Roman" w:hAnsi="Times New Roman"/>
          <w:color w:val="000000"/>
          <w:sz w:val="20"/>
        </w:rPr>
        <w:t>million</w:t>
      </w:r>
      <w:r>
        <w:rPr>
          <w:rFonts w:ascii="Times New Roman" w:hAnsi="Times New Roman"/>
          <w:color w:val="000000"/>
          <w:sz w:val="24"/>
        </w:rPr>
        <w:t xml:space="preserve"> </w:t>
      </w:r>
      <w:r>
        <w:rPr>
          <w:rFonts w:ascii="Times New Roman" w:hAnsi="Times New Roman"/>
          <w:color w:val="000000"/>
          <w:sz w:val="20"/>
        </w:rPr>
        <w:t>in 2023. The Rabbi Trust held 266,000</w:t>
      </w:r>
      <w:r>
        <w:rPr>
          <w:rFonts w:ascii="Times New Roman" w:hAnsi="Times New Roman"/>
          <w:color w:val="000000"/>
          <w:sz w:val="24"/>
        </w:rPr>
        <w:t xml:space="preserve"> </w:t>
      </w:r>
      <w:r>
        <w:rPr>
          <w:rFonts w:ascii="Times New Roman" w:hAnsi="Times New Roman"/>
          <w:color w:val="000000"/>
          <w:sz w:val="20"/>
        </w:rPr>
        <w:t>shares (258,000</w:t>
      </w:r>
      <w:r>
        <w:rPr>
          <w:rFonts w:ascii="Times New Roman" w:hAnsi="Times New Roman"/>
          <w:color w:val="000000"/>
          <w:sz w:val="24"/>
        </w:rPr>
        <w:t xml:space="preserve"> </w:t>
      </w:r>
      <w:r>
        <w:rPr>
          <w:rFonts w:ascii="Times New Roman" w:hAnsi="Times New Roman"/>
          <w:color w:val="000000"/>
          <w:sz w:val="20"/>
        </w:rPr>
        <w:t>vested shares) of Range stock at December 31, 2025</w:t>
      </w:r>
      <w:r>
        <w:rPr>
          <w:rFonts w:ascii="Times New Roman" w:hAnsi="Times New Roman"/>
          <w:color w:val="000000"/>
          <w:sz w:val="24"/>
        </w:rPr>
        <w:t xml:space="preserve"> </w:t>
      </w:r>
      <w:r>
        <w:rPr>
          <w:rFonts w:ascii="Times New Roman" w:hAnsi="Times New Roman"/>
          <w:color w:val="000000"/>
          <w:sz w:val="20"/>
        </w:rPr>
        <w:t>compared to 742,000</w:t>
      </w:r>
      <w:r>
        <w:rPr>
          <w:rFonts w:ascii="Times New Roman" w:hAnsi="Times New Roman"/>
          <w:color w:val="000000"/>
          <w:sz w:val="24"/>
        </w:rPr>
        <w:t xml:space="preserve"> </w:t>
      </w:r>
      <w:r>
        <w:rPr>
          <w:rFonts w:ascii="Times New Roman" w:hAnsi="Times New Roman"/>
          <w:color w:val="000000"/>
          <w:sz w:val="20"/>
        </w:rPr>
        <w:t>(724,000</w:t>
      </w:r>
      <w:r>
        <w:rPr>
          <w:rFonts w:ascii="Times New Roman" w:hAnsi="Times New Roman"/>
          <w:color w:val="000000"/>
          <w:sz w:val="24"/>
        </w:rPr>
        <w:t xml:space="preserve"> </w:t>
      </w:r>
      <w:r>
        <w:rPr>
          <w:rFonts w:ascii="Times New Roman" w:hAnsi="Times New Roman"/>
          <w:color w:val="000000"/>
          <w:sz w:val="20"/>
        </w:rPr>
        <w:t>of vested shares) at December 31, 2024</w:t>
      </w:r>
      <w:r>
        <w:rPr>
          <w:rFonts w:ascii="Times New Roman" w:hAnsi="Times New Roman"/>
          <w:color w:val="000000"/>
          <w:sz w:val="24"/>
        </w:rPr>
        <w:t xml:space="preserve"> </w:t>
      </w:r>
      <w:r>
        <w:rPr>
          <w:rFonts w:ascii="Times New Roman" w:hAnsi="Times New Roman"/>
          <w:color w:val="000000"/>
          <w:sz w:val="20"/>
        </w:rPr>
        <w:t>and 1.6</w:t>
      </w:r>
      <w:r>
        <w:rPr>
          <w:rFonts w:ascii="Times New Roman" w:hAnsi="Times New Roman"/>
          <w:color w:val="000000"/>
          <w:sz w:val="24"/>
        </w:rPr>
        <w:t xml:space="preserve"> </w:t>
      </w:r>
      <w:r>
        <w:rPr>
          <w:rFonts w:ascii="Times New Roman" w:hAnsi="Times New Roman"/>
          <w:color w:val="000000"/>
          <w:sz w:val="20"/>
        </w:rPr>
        <w:t>million (1.5</w:t>
      </w:r>
      <w:r>
        <w:rPr>
          <w:rFonts w:ascii="Times New Roman" w:hAnsi="Times New Roman"/>
          <w:color w:val="000000"/>
          <w:sz w:val="24"/>
        </w:rPr>
        <w:t xml:space="preserve"> </w:t>
      </w:r>
      <w:r>
        <w:rPr>
          <w:rFonts w:ascii="Times New Roman" w:hAnsi="Times New Roman"/>
          <w:color w:val="000000"/>
          <w:sz w:val="20"/>
        </w:rPr>
        <w:t>million vested shares) at December 31, 2023. The proceeds received from the sale of stock held in our deferred compensation plan were $12.2</w:t>
      </w:r>
      <w:r>
        <w:rPr>
          <w:rFonts w:ascii="Times New Roman" w:hAnsi="Times New Roman"/>
          <w:color w:val="000000"/>
          <w:sz w:val="24"/>
        </w:rPr>
        <w:t xml:space="preserve"> </w:t>
      </w:r>
      <w:r>
        <w:rPr>
          <w:rFonts w:ascii="Times New Roman" w:hAnsi="Times New Roman"/>
          <w:color w:val="000000"/>
          <w:sz w:val="20"/>
        </w:rPr>
        <w:t>million</w:t>
      </w:r>
      <w:r>
        <w:rPr>
          <w:rFonts w:ascii="Times New Roman" w:hAnsi="Times New Roman"/>
          <w:color w:val="000000"/>
          <w:sz w:val="24"/>
        </w:rPr>
        <w:t xml:space="preserve"> </w:t>
      </w:r>
      <w:r>
        <w:rPr>
          <w:rFonts w:ascii="Times New Roman" w:hAnsi="Times New Roman"/>
          <w:color w:val="000000"/>
          <w:sz w:val="20"/>
        </w:rPr>
        <w:t>in 2025 compared to $20.1</w:t>
      </w:r>
      <w:r>
        <w:rPr>
          <w:rFonts w:ascii="Times New Roman" w:hAnsi="Times New Roman"/>
          <w:color w:val="000000"/>
          <w:sz w:val="24"/>
        </w:rPr>
        <w:t xml:space="preserve"> </w:t>
      </w:r>
      <w:r>
        <w:rPr>
          <w:rFonts w:ascii="Times New Roman" w:hAnsi="Times New Roman"/>
          <w:color w:val="000000"/>
          <w:sz w:val="20"/>
        </w:rPr>
        <w:t>million</w:t>
      </w:r>
      <w:r>
        <w:rPr>
          <w:rFonts w:ascii="Times New Roman" w:hAnsi="Times New Roman"/>
          <w:color w:val="000000"/>
          <w:sz w:val="24"/>
        </w:rPr>
        <w:t xml:space="preserve"> </w:t>
      </w:r>
      <w:r>
        <w:rPr>
          <w:rFonts w:ascii="Times New Roman" w:hAnsi="Times New Roman"/>
          <w:color w:val="000000"/>
          <w:sz w:val="20"/>
        </w:rPr>
        <w:t>in 2024 and $75.2</w:t>
      </w:r>
      <w:r>
        <w:rPr>
          <w:rFonts w:ascii="Times New Roman" w:hAnsi="Times New Roman"/>
          <w:color w:val="000000"/>
          <w:sz w:val="24"/>
        </w:rPr>
        <w:t xml:space="preserve"> </w:t>
      </w:r>
      <w:r>
        <w:rPr>
          <w:rFonts w:ascii="Times New Roman" w:hAnsi="Times New Roman"/>
          <w:color w:val="000000"/>
          <w:sz w:val="20"/>
        </w:rPr>
        <w:t>million</w:t>
      </w:r>
      <w:r>
        <w:rPr>
          <w:rFonts w:ascii="Times New Roman" w:hAnsi="Times New Roman"/>
          <w:color w:val="000000"/>
          <w:sz w:val="24"/>
        </w:rPr>
        <w:t xml:space="preserve"> </w:t>
      </w:r>
      <w:r>
        <w:rPr>
          <w:rFonts w:ascii="Times New Roman" w:hAnsi="Times New Roman"/>
          <w:color w:val="000000"/>
          <w:sz w:val="20"/>
        </w:rPr>
        <w:t xml:space="preserve">in 2023. </w:t>
      </w:r>
    </w:p>
    <w:p>
      <w:pPr>
        <w:pStyle w:val="TextBody"/>
        <w:bidi w:val="0"/>
        <w:spacing w:before="0" w:after="180"/>
        <w:jc w:val="left"/>
        <w:rPr>
          <w:rFonts w:ascii="Times New Roman" w:hAnsi="Times New Roman"/>
          <w:b/>
          <w:color w:val="000000"/>
          <w:sz w:val="20"/>
        </w:rPr>
      </w:pPr>
      <w:bookmarkStart w:id="67" w:name="note_11"/>
      <w:bookmarkEnd w:id="67"/>
      <w:r>
        <w:rPr>
          <w:rFonts w:ascii="Times New Roman" w:hAnsi="Times New Roman"/>
          <w:b/>
          <w:color w:val="000000"/>
          <w:sz w:val="20"/>
        </w:rPr>
        <w:t>(11) CAPITAL STOCK</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have authorized capital stock of 485.0 million shares, which includes 475.0 million shares of common stock and 10.0 million shares of preferred stock. The following is a schedule of changes in the number of common shares outstanding since the beginning of 2024:</w:t>
      </w:r>
    </w:p>
    <w:tbl>
      <w:tblPr>
        <w:tblW w:w="6303" w:type="dxa"/>
        <w:jc w:val="left"/>
        <w:tblInd w:w="0" w:type="dxa"/>
        <w:tblLayout w:type="fixed"/>
        <w:tblCellMar>
          <w:top w:w="28" w:type="dxa"/>
          <w:left w:w="28" w:type="dxa"/>
          <w:bottom w:w="28" w:type="dxa"/>
          <w:right w:w="28" w:type="dxa"/>
        </w:tblCellMar>
      </w:tblPr>
      <w:tblGrid>
        <w:gridCol w:w="2926"/>
        <w:gridCol w:w="146"/>
        <w:gridCol w:w="1141"/>
        <w:gridCol w:w="166"/>
        <w:gridCol w:w="146"/>
        <w:gridCol w:w="146"/>
        <w:gridCol w:w="1141"/>
        <w:gridCol w:w="49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240,669,354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241,040,304</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Restricted stock grants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24,186</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Restricted stock units 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859,924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1,192,633</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Performance stock units 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265,327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455,317</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Performance stock dividends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6,914</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Treasury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(6,348,935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(2,050,000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235,458,212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240,669,354</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180"/>
        <w:jc w:val="left"/>
        <w:rPr>
          <w:rFonts w:ascii="Times New Roman" w:hAnsi="Times New Roman"/>
          <w:sz w:val="20"/>
        </w:rPr>
      </w:pPr>
      <w:r>
        <w:rPr>
          <w:rFonts w:ascii="Times New Roman" w:hAnsi="Times New Roman"/>
          <w:b/>
          <w:color w:val="000000"/>
          <w:sz w:val="20"/>
        </w:rPr>
        <w:t>Common Stock Dividends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payment of dividends is subject to the formal declaration by the board of directors. The determination of the amount of future dividends, if any, to be declared and paid is at the sole discretion of the board of directors and will depend on our financial condition, earnings, capital requirements, levels of indebtedness, our future business prospects and other matters our board of directors deems relevant. Our bank credit facility allows for the payment of common dividends, with certain limitations, as described in the facility agreement.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Treasury Stock</w:t>
      </w:r>
    </w:p>
    <w:p>
      <w:pPr>
        <w:pStyle w:val="TextBody"/>
        <w:bidi w:val="0"/>
        <w:jc w:val="left"/>
        <w:rPr>
          <w:rFonts w:ascii="Times New Roman" w:hAnsi="Times New Roman"/>
          <w:color w:val="000000"/>
          <w:sz w:val="20"/>
        </w:rPr>
      </w:pPr>
      <w:r>
        <w:rPr>
          <w:rFonts w:ascii="Times New Roman" w:hAnsi="Times New Roman"/>
          <w:color w:val="000000"/>
          <w:sz w:val="20"/>
        </w:rPr>
        <w:t>In October 2019, the board of directors approved a stock repurchase program which was increased in size in 2022. Under this program, we may repurchase shares of our common stock in open market transactions, from time to time, in accordance with applicable SEC rules and federal securities laws. In 2025, we repurchased 6.4 million shares at an aggregate value of $230.6 million. As of December 31, 2025, we have approximately $785.5 million of remaining authorization under this program. The following is a schedule of the change in treasury shares since the beginning of 2024:</w:t>
      </w:r>
    </w:p>
    <w:p>
      <w:pPr>
        <w:pStyle w:val="TextBody"/>
        <w:bidi w:val="0"/>
        <w:spacing w:before="120" w:after="283"/>
        <w:jc w:val="left"/>
        <w:rPr/>
      </w:pPr>
      <w:r>
        <w:rPr/>
        <w:t> </w:t>
      </w:r>
    </w:p>
    <w:tbl>
      <w:tblPr>
        <w:tblW w:w="6423" w:type="dxa"/>
        <w:jc w:val="left"/>
        <w:tblInd w:w="0" w:type="dxa"/>
        <w:tblLayout w:type="fixed"/>
        <w:tblCellMar>
          <w:top w:w="28" w:type="dxa"/>
          <w:left w:w="28" w:type="dxa"/>
          <w:bottom w:w="28" w:type="dxa"/>
          <w:right w:w="28" w:type="dxa"/>
        </w:tblCellMar>
      </w:tblPr>
      <w:tblGrid>
        <w:gridCol w:w="3256"/>
        <w:gridCol w:w="146"/>
        <w:gridCol w:w="1036"/>
        <w:gridCol w:w="166"/>
        <w:gridCol w:w="146"/>
        <w:gridCol w:w="146"/>
        <w:gridCol w:w="1036"/>
        <w:gridCol w:w="491"/>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26,766,065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24,716,065</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Rabbi Trust shares distributed/sold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Shares repurchased</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6,350,000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2,050,000</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33,115,000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26,766,065</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80" w:after="180"/>
        <w:jc w:val="left"/>
        <w:rPr>
          <w:rFonts w:ascii="Times New Roman" w:hAnsi="Times New Roman"/>
          <w:b/>
          <w:color w:val="000000"/>
          <w:sz w:val="20"/>
        </w:rPr>
      </w:pPr>
      <w:bookmarkStart w:id="68" w:name="note_12"/>
      <w:bookmarkEnd w:id="68"/>
      <w:r>
        <w:rPr>
          <w:rFonts w:ascii="Times New Roman" w:hAnsi="Times New Roman"/>
          <w:b/>
          <w:color w:val="000000"/>
          <w:sz w:val="20"/>
        </w:rPr>
        <w:t>(12) SUPPLEMENTAL CASH FLOW INFORMATION</w:t>
      </w:r>
    </w:p>
    <w:tbl>
      <w:tblPr>
        <w:tblW w:w="8647" w:type="dxa"/>
        <w:jc w:val="left"/>
        <w:tblInd w:w="0" w:type="dxa"/>
        <w:tblLayout w:type="fixed"/>
        <w:tblCellMar>
          <w:top w:w="28" w:type="dxa"/>
          <w:left w:w="28" w:type="dxa"/>
          <w:bottom w:w="28" w:type="dxa"/>
          <w:right w:w="28" w:type="dxa"/>
        </w:tblCellMar>
      </w:tblPr>
      <w:tblGrid>
        <w:gridCol w:w="4456"/>
        <w:gridCol w:w="211"/>
        <w:gridCol w:w="841"/>
        <w:gridCol w:w="166"/>
        <w:gridCol w:w="146"/>
        <w:gridCol w:w="211"/>
        <w:gridCol w:w="841"/>
        <w:gridCol w:w="166"/>
        <w:gridCol w:w="146"/>
        <w:gridCol w:w="211"/>
        <w:gridCol w:w="841"/>
        <w:gridCol w:w="411"/>
      </w:tblGrid>
      <w:tr>
        <w:trPr/>
        <w:tc>
          <w:tcPr>
            <w:tcW w:w="44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from operating activities included:</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Federal income taxes paid to taxing authorities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State income taxes paid to taxing authorities </w:t>
            </w:r>
            <w:r>
              <w:rPr>
                <w:rFonts w:ascii="Times New Roman" w:hAnsi="Times New Roman"/>
                <w:color w:val="000000"/>
                <w:sz w:val="13"/>
              </w:rPr>
              <w:t>(a)</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paid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(120,631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investing activities included:</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Increase in asset retirement costs capitalized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Increase in accrued capital expenditures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State taxes paid relate exclusively to Pennsylvania.</w:t>
      </w:r>
    </w:p>
    <w:p>
      <w:pPr>
        <w:pStyle w:val="TextBody"/>
        <w:bidi w:val="0"/>
        <w:jc w:val="left"/>
        <w:rPr/>
      </w:pPr>
      <w:r>
        <w:rPr/>
        <w:t> </w:t>
      </w:r>
    </w:p>
    <w:p>
      <w:pPr>
        <w:pStyle w:val="TextBody"/>
        <w:bidi w:val="0"/>
        <w:spacing w:before="180" w:after="180"/>
        <w:jc w:val="left"/>
        <w:rPr>
          <w:rFonts w:ascii="Times New Roman" w:hAnsi="Times New Roman"/>
          <w:b/>
          <w:color w:val="000000"/>
          <w:sz w:val="20"/>
        </w:rPr>
      </w:pPr>
      <w:bookmarkStart w:id="69" w:name="note_13"/>
      <w:bookmarkEnd w:id="69"/>
      <w:r>
        <w:rPr>
          <w:rFonts w:ascii="Times New Roman" w:hAnsi="Times New Roman"/>
          <w:b/>
          <w:color w:val="000000"/>
          <w:sz w:val="20"/>
        </w:rPr>
        <w:t>(13) COMMITMENTS AND CONTINGENCIES</w:t>
      </w:r>
    </w:p>
    <w:p>
      <w:pPr>
        <w:pStyle w:val="TextBody"/>
        <w:bidi w:val="0"/>
        <w:spacing w:before="0" w:after="180"/>
        <w:jc w:val="left"/>
        <w:rPr>
          <w:rFonts w:ascii="Times New Roman" w:hAnsi="Times New Roman"/>
          <w:sz w:val="20"/>
        </w:rPr>
      </w:pPr>
      <w:r>
        <w:rPr>
          <w:rFonts w:ascii="Times New Roman" w:hAnsi="Times New Roman"/>
          <w:b/>
          <w:color w:val="000000"/>
          <w:sz w:val="20"/>
        </w:rPr>
        <w:t>Litigation</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We are the subject of, or party to, a number of pending or threatened legal actions and administrative proceedings or investigations arising in the ordinary course of our business including, but not limited to, royalty claims, contract claims and environmental claims. While many of these matters involve inherent uncertainty, we believe that the amount of the liability, if any, ultimately incurred with respect to proceedings or claims will not have a material adverse effect on our consolidated financial position as a whole or on our liquidity, capital resources or future annual results of operations.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When deemed necessary, we establish reserves for certain legal proceedings. The establishment of a reserve is based on an estimation process that includes the advice of legal counsel and subjective judgment of management. While management believes these reserves to be adequate, it is reasonably possible we could incur additional losses with respect to those matters in which reserves have been established. We will continue to evaluate our litigation on a quarterly basis and will establish and adjust any litigation reserves as appropriate to reflect our assessment of the then current status of litigation.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have incurred and will continue to incur capital, operating and remediation expenditures as a result of environmental laws and regulations. As of December 31, 2025 and 2024, liabilities for remediation were not material. We are not aware of any environmental claims existing as of December 31, 2025 that have not been provided for or would otherwise have a material impact on our financial position or results of operations. Environmental liabilities normally involve estimates that are subject to revision until final resolution, settlement or remediation occurs. We believe that substantially all of our competitors must comply with similar environmental laws and regulations.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Obligations Following Divestitures</w:t>
      </w:r>
    </w:p>
    <w:p>
      <w:pPr>
        <w:pStyle w:val="TextBody"/>
        <w:bidi w:val="0"/>
        <w:spacing w:before="0" w:after="180"/>
        <w:jc w:val="left"/>
        <w:rPr/>
      </w:pPr>
      <w:r>
        <w:rPr>
          <w:rFonts w:ascii="Times New Roman" w:hAnsi="Times New Roman"/>
          <w:color w:val="000000"/>
          <w:sz w:val="20"/>
        </w:rPr>
        <w:t xml:space="preserve">Certain contractual obligations were retained by us after our divestiture of our North Louisiana assets in 2020. These obligations are primarily related to gathering, processing and transportation agreements including certain minimum volume commitments. For additional information see </w:t>
      </w:r>
      <w:hyperlink w:anchor="note_14">
        <w:r>
          <w:rPr>
            <w:rStyle w:val="InternetLink"/>
            <w:rFonts w:ascii="Times New Roman" w:hAnsi="Times New Roman"/>
            <w:color w:val="0000FF"/>
            <w:sz w:val="20"/>
            <w:u w:val="single"/>
          </w:rPr>
          <w:t>Note 14</w:t>
        </w:r>
      </w:hyperlink>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sz w:val="20"/>
        </w:rPr>
      </w:pPr>
      <w:r>
        <w:rPr>
          <w:rFonts w:ascii="Times New Roman" w:hAnsi="Times New Roman"/>
          <w:b/>
          <w:color w:val="000000"/>
          <w:sz w:val="20"/>
        </w:rPr>
        <w:t>Lease Commitments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components of our total lease expense for the two years ended December 31, 2025, the majority of which is included as part of natural gas, NGLs and oil properties on our consolidated balance sheets, are as follows (in thousands):</w:t>
      </w:r>
    </w:p>
    <w:tbl>
      <w:tblPr>
        <w:tblW w:w="5143" w:type="dxa"/>
        <w:jc w:val="left"/>
        <w:tblInd w:w="0" w:type="dxa"/>
        <w:tblLayout w:type="fixed"/>
        <w:tblCellMar>
          <w:top w:w="28" w:type="dxa"/>
          <w:left w:w="28" w:type="dxa"/>
          <w:bottom w:w="28" w:type="dxa"/>
          <w:right w:w="28" w:type="dxa"/>
        </w:tblCellMar>
      </w:tblPr>
      <w:tblGrid>
        <w:gridCol w:w="2341"/>
        <w:gridCol w:w="211"/>
        <w:gridCol w:w="781"/>
        <w:gridCol w:w="166"/>
        <w:gridCol w:w="146"/>
        <w:gridCol w:w="211"/>
        <w:gridCol w:w="676"/>
        <w:gridCol w:w="611"/>
      </w:tblGrid>
      <w:tr>
        <w:trPr/>
        <w:tc>
          <w:tcPr>
            <w:tcW w:w="23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90,170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Variable lease expense </w:t>
            </w:r>
            <w:r>
              <w:rPr>
                <w:rFonts w:ascii="Times New Roman" w:hAnsi="Times New Roman"/>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Short-term lease expense </w:t>
            </w:r>
            <w:r>
              <w:rPr>
                <w:rFonts w:ascii="Times New Roman" w:hAnsi="Times New Roman"/>
                <w:color w:val="000000"/>
                <w:sz w:val="13"/>
              </w:rPr>
              <w:t>(2)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Sublease income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lease expense</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99,658</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Short-term lease costs </w:t>
            </w:r>
            <w:r>
              <w:rPr>
                <w:rFonts w:ascii="Times New Roman" w:hAnsi="Times New Roman"/>
                <w:color w:val="000000"/>
                <w:sz w:val="13"/>
              </w:rPr>
              <w:t>(3)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10,478</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5"/>
        <w:gridCol w:w="9960"/>
      </w:tblGrid>
      <w:tr>
        <w:trPr/>
        <w:tc>
          <w:tcPr>
            <w:tcW w:w="245" w:type="dxa"/>
            <w:tcBorders/>
            <w:vAlign w:val="center"/>
          </w:tcPr>
          <w:p>
            <w:pPr>
              <w:pStyle w:val="TableContents"/>
              <w:bidi w:val="0"/>
              <w:spacing w:before="0" w:after="283"/>
              <w:jc w:val="left"/>
              <w:rPr>
                <w:sz w:val="4"/>
                <w:szCs w:val="4"/>
              </w:rPr>
            </w:pPr>
            <w:r>
              <w:rPr>
                <w:sz w:val="4"/>
                <w:szCs w:val="4"/>
              </w:rPr>
            </w:r>
          </w:p>
        </w:tc>
        <w:tc>
          <w:tcPr>
            <w:tcW w:w="9960" w:type="dxa"/>
            <w:tcBorders/>
            <w:vAlign w:val="center"/>
          </w:tcPr>
          <w:p>
            <w:pPr>
              <w:pStyle w:val="TableContents"/>
              <w:bidi w:val="0"/>
              <w:spacing w:before="0" w:after="283"/>
              <w:jc w:val="left"/>
              <w:rPr>
                <w:sz w:val="4"/>
                <w:szCs w:val="4"/>
              </w:rPr>
            </w:pPr>
            <w:r>
              <w:rPr>
                <w:sz w:val="4"/>
                <w:szCs w:val="4"/>
              </w:rPr>
            </w:r>
          </w:p>
        </w:tc>
      </w:tr>
      <w:tr>
        <w:trPr/>
        <w:tc>
          <w:tcPr>
            <w:tcW w:w="245"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2"/>
              </w:rPr>
            </w:pPr>
            <w:r>
              <w:rPr>
                <w:rFonts w:ascii="Times New Roman" w:hAnsi="Times New Roman"/>
                <w:color w:val="000000"/>
                <w:sz w:val="12"/>
              </w:rPr>
              <w:t>(1)</w:t>
            </w:r>
          </w:p>
        </w:tc>
        <w:tc>
          <w:tcPr>
            <w:tcW w:w="9960"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Variable lease payments that are not dependent on an index or rate and are not included in the lease liability or ROU assets.</w:t>
            </w:r>
          </w:p>
        </w:tc>
      </w:tr>
      <w:tr>
        <w:trPr/>
        <w:tc>
          <w:tcPr>
            <w:tcW w:w="2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w:t>
            </w:r>
          </w:p>
        </w:tc>
        <w:tc>
          <w:tcPr>
            <w:tcW w:w="99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Short-term lease expense represents expense related to leases with a contract term of one year or less and are not included in our ROU assets or lease liability in our consolidated balance sheets.</w:t>
            </w:r>
          </w:p>
        </w:tc>
      </w:tr>
      <w:tr>
        <w:trPr/>
        <w:tc>
          <w:tcPr>
            <w:tcW w:w="2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w:t>
            </w:r>
          </w:p>
        </w:tc>
        <w:tc>
          <w:tcPr>
            <w:tcW w:w="99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These short-term lease costs are related to leases with a contract term of one year or less, the majority of which are related to drilling rigs which are capitalized as part of natural gas, NGLs and oil properties on our consolidated balance sheets and may fluctuate based on the number of drilling rigs being utilized.</w:t>
            </w:r>
          </w:p>
        </w:tc>
      </w:tr>
    </w:tbl>
    <w:p>
      <w:pPr>
        <w:pStyle w:val="TextBody"/>
        <w:bidi w:val="0"/>
        <w:spacing w:before="360" w:after="180"/>
        <w:jc w:val="left"/>
        <w:rPr>
          <w:rFonts w:ascii="Times New Roman" w:hAnsi="Times New Roman"/>
          <w:color w:val="000000"/>
          <w:sz w:val="20"/>
        </w:rPr>
      </w:pPr>
      <w:r>
        <w:rPr>
          <w:rFonts w:ascii="Times New Roman" w:hAnsi="Times New Roman"/>
          <w:color w:val="000000"/>
          <w:sz w:val="20"/>
        </w:rPr>
        <w:t>Supplemental cash flow information related to our operating leases is included in the table below (in thousands):</w:t>
      </w:r>
    </w:p>
    <w:tbl>
      <w:tblPr>
        <w:tblW w:w="8273" w:type="dxa"/>
        <w:jc w:val="left"/>
        <w:tblInd w:w="0" w:type="dxa"/>
        <w:tblLayout w:type="fixed"/>
        <w:tblCellMar>
          <w:top w:w="28" w:type="dxa"/>
          <w:left w:w="28" w:type="dxa"/>
          <w:bottom w:w="28" w:type="dxa"/>
          <w:right w:w="28" w:type="dxa"/>
        </w:tblCellMar>
      </w:tblPr>
      <w:tblGrid>
        <w:gridCol w:w="5806"/>
        <w:gridCol w:w="211"/>
        <w:gridCol w:w="781"/>
        <w:gridCol w:w="146"/>
        <w:gridCol w:w="146"/>
        <w:gridCol w:w="211"/>
        <w:gridCol w:w="781"/>
        <w:gridCol w:w="191"/>
      </w:tblGrid>
      <w:tr>
        <w:trPr/>
        <w:tc>
          <w:tcPr>
            <w:tcW w:w="58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ROU assets added in exchange for lease obligations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180,342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180"/>
        <w:jc w:val="left"/>
        <w:rPr>
          <w:rFonts w:ascii="Times New Roman" w:hAnsi="Times New Roman"/>
          <w:color w:val="000000"/>
          <w:sz w:val="20"/>
        </w:rPr>
      </w:pPr>
      <w:r>
        <w:rPr>
          <w:rFonts w:ascii="Times New Roman" w:hAnsi="Times New Roman"/>
          <w:color w:val="000000"/>
          <w:sz w:val="20"/>
        </w:rPr>
        <w:t>Our weighted average remaining lease term and weighted average discount rate for our operating leases are as follows:</w:t>
      </w:r>
    </w:p>
    <w:tbl>
      <w:tblPr>
        <w:tblW w:w="5476" w:type="dxa"/>
        <w:jc w:val="left"/>
        <w:tblInd w:w="0" w:type="dxa"/>
        <w:tblLayout w:type="fixed"/>
        <w:tblCellMar>
          <w:top w:w="28" w:type="dxa"/>
          <w:left w:w="28" w:type="dxa"/>
          <w:bottom w:w="28" w:type="dxa"/>
          <w:right w:w="28" w:type="dxa"/>
        </w:tblCellMar>
      </w:tblPr>
      <w:tblGrid>
        <w:gridCol w:w="3316"/>
        <w:gridCol w:w="968"/>
        <w:gridCol w:w="171"/>
        <w:gridCol w:w="1021"/>
      </w:tblGrid>
      <w:tr>
        <w:trPr/>
        <w:tc>
          <w:tcPr>
            <w:tcW w:w="3316"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 years</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 years</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r>
    </w:tbl>
    <w:p>
      <w:pPr>
        <w:pStyle w:val="TextBody"/>
        <w:bidi w:val="0"/>
        <w:jc w:val="left"/>
        <w:rPr/>
      </w:pPr>
      <w:r>
        <w:rPr/>
        <w:t> </w:t>
      </w:r>
    </w:p>
    <w:p>
      <w:pPr>
        <w:pStyle w:val="TextBody"/>
        <w:bidi w:val="0"/>
        <w:spacing w:before="360" w:after="180"/>
        <w:jc w:val="left"/>
        <w:rPr>
          <w:rFonts w:ascii="Times New Roman" w:hAnsi="Times New Roman"/>
          <w:color w:val="000000"/>
          <w:sz w:val="20"/>
        </w:rPr>
      </w:pPr>
      <w:r>
        <w:rPr>
          <w:rFonts w:ascii="Times New Roman" w:hAnsi="Times New Roman"/>
          <w:color w:val="000000"/>
          <w:sz w:val="20"/>
        </w:rPr>
        <w:t>Our lease liabilities with enforceable contract terms that are greater than one year mature as follows (in thousands):</w:t>
      </w:r>
    </w:p>
    <w:tbl>
      <w:tblPr>
        <w:tblW w:w="3684" w:type="dxa"/>
        <w:jc w:val="left"/>
        <w:tblInd w:w="0" w:type="dxa"/>
        <w:tblLayout w:type="fixed"/>
        <w:tblCellMar>
          <w:top w:w="28" w:type="dxa"/>
          <w:left w:w="28" w:type="dxa"/>
          <w:bottom w:w="28" w:type="dxa"/>
          <w:right w:w="28" w:type="dxa"/>
        </w:tblCellMar>
      </w:tblPr>
      <w:tblGrid>
        <w:gridCol w:w="2281"/>
        <w:gridCol w:w="211"/>
        <w:gridCol w:w="781"/>
        <w:gridCol w:w="411"/>
      </w:tblGrid>
      <w:tr>
        <w:trPr/>
        <w:tc>
          <w:tcPr>
            <w:tcW w:w="22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Operating </w:t>
              <w:br/>
              <w:t>Leases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65,735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71,702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47,588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payments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203,717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effects of discounting</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liability</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174,293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sz w:val="20"/>
        </w:rPr>
      </w:pPr>
      <w:r>
        <w:rPr>
          <w:rFonts w:ascii="Times New Roman" w:hAnsi="Times New Roman"/>
          <w:b/>
          <w:color w:val="000000"/>
          <w:sz w:val="20"/>
        </w:rPr>
        <w:t>Transportation, Gathering and Processing Contracts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We have entered into firm transportation and gathering contracts with various pipeline carriers for the future transportation and gathering of natural gas, NGLs and oil production. Under these contracts, we are obligated to transport or gather minimum daily natural gas volumes or pay for any deficiencies at a specified reservation fee rate. Our production committed to these pipelines is currently expected to exceed the minimum daily volumes provided in the contracts. However, if in the future we fail to deliver the committed volumes, we would recognize a deficiency payment in the period in which the under-delivery takes place and the related liability has been incurred. In the information below we have not considered any potential future renewals, although at times we will renew these agreements. As of December 31, 2025, future minimum transportation and gathering fees under our commitments are as follows (in thousands): </w:t>
      </w:r>
    </w:p>
    <w:tbl>
      <w:tblPr>
        <w:tblW w:w="2428" w:type="dxa"/>
        <w:jc w:val="left"/>
        <w:tblInd w:w="0" w:type="dxa"/>
        <w:tblLayout w:type="fixed"/>
        <w:tblCellMar>
          <w:top w:w="28" w:type="dxa"/>
          <w:left w:w="28" w:type="dxa"/>
          <w:bottom w:w="28" w:type="dxa"/>
          <w:right w:w="28" w:type="dxa"/>
        </w:tblCellMar>
      </w:tblPr>
      <w:tblGrid>
        <w:gridCol w:w="946"/>
        <w:gridCol w:w="238"/>
        <w:gridCol w:w="1053"/>
        <w:gridCol w:w="191"/>
      </w:tblGrid>
      <w:tr>
        <w:trPr/>
        <w:tc>
          <w:tcPr>
            <w:tcW w:w="9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Transportation</w:t>
              <w:br/>
              <w:t>and Gathering</w:t>
              <w:br/>
              <w:t xml:space="preserve">Contracts </w:t>
            </w:r>
            <w:r>
              <w:rPr>
                <w:rFonts w:ascii="Times New Roman" w:hAnsi="Times New Roman"/>
                <w:b/>
                <w:color w:val="000000"/>
                <w:sz w:val="12"/>
              </w:rPr>
              <w:t>(a)</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833,967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823,437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805,735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626,333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607,123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2,161,282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5,857,877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0"/>
        <w:gridCol w:w="9955"/>
      </w:tblGrid>
      <w:tr>
        <w:trPr/>
        <w:tc>
          <w:tcPr>
            <w:tcW w:w="250" w:type="dxa"/>
            <w:tcBorders/>
            <w:vAlign w:val="center"/>
          </w:tcPr>
          <w:p>
            <w:pPr>
              <w:pStyle w:val="TableContents"/>
              <w:bidi w:val="0"/>
              <w:spacing w:before="0" w:after="283"/>
              <w:jc w:val="left"/>
              <w:rPr>
                <w:sz w:val="4"/>
                <w:szCs w:val="4"/>
              </w:rPr>
            </w:pPr>
            <w:r>
              <w:rPr>
                <w:sz w:val="4"/>
                <w:szCs w:val="4"/>
              </w:rPr>
            </w:r>
          </w:p>
        </w:tc>
        <w:tc>
          <w:tcPr>
            <w:tcW w:w="9955" w:type="dxa"/>
            <w:tcBorders/>
            <w:vAlign w:val="center"/>
          </w:tcPr>
          <w:p>
            <w:pPr>
              <w:pStyle w:val="TableContents"/>
              <w:bidi w:val="0"/>
              <w:spacing w:before="0" w:after="283"/>
              <w:jc w:val="left"/>
              <w:rPr>
                <w:sz w:val="4"/>
                <w:szCs w:val="4"/>
              </w:rPr>
            </w:pPr>
            <w:r>
              <w:rPr>
                <w:sz w:val="4"/>
                <w:szCs w:val="4"/>
              </w:rPr>
            </w:r>
          </w:p>
        </w:tc>
      </w:tr>
      <w:tr>
        <w:trPr/>
        <w:tc>
          <w:tcPr>
            <w:tcW w:w="25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w:t>
            </w:r>
          </w:p>
        </w:tc>
        <w:tc>
          <w:tcPr>
            <w:tcW w:w="995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The amounts</w:t>
            </w:r>
            <w:r>
              <w:rPr>
                <w:rFonts w:ascii="Times New Roman" w:hAnsi="Times New Roman"/>
                <w:color w:val="000000"/>
                <w:sz w:val="20"/>
              </w:rPr>
              <w:t> </w:t>
            </w:r>
            <w:r>
              <w:rPr>
                <w:rFonts w:ascii="Times New Roman" w:hAnsi="Times New Roman"/>
                <w:color w:val="000000"/>
                <w:sz w:val="18"/>
              </w:rPr>
              <w:t>in this table represent the gross amounts that we are committed to pay; however, we will record in our financial statements our proportionate share of costs based on our working interest which can vary based on volumes produced.</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also entered into amendments that are not in the above table, but modify existing contracts and are contingent on additional facility construction. Amendments will expand gathering, processing, transportation and de-ethanization capacity as construction is completed between 2026 and 2029. We have also entered into a contract for propane export terminal capacity that is contingent on the construction of the relevant facilities and is expected to be in service in 2027.</w:t>
      </w:r>
    </w:p>
    <w:p>
      <w:pPr>
        <w:pStyle w:val="TextBody"/>
        <w:bidi w:val="0"/>
        <w:jc w:val="left"/>
        <w:rPr/>
      </w:pPr>
      <w:r>
        <w:rPr/>
        <w:t> </w:t>
      </w:r>
    </w:p>
    <w:p>
      <w:pPr>
        <w:pStyle w:val="TextBody"/>
        <w:bidi w:val="0"/>
        <w:spacing w:before="180" w:after="180"/>
        <w:jc w:val="left"/>
        <w:rPr>
          <w:rFonts w:ascii="Times New Roman" w:hAnsi="Times New Roman"/>
          <w:sz w:val="20"/>
        </w:rPr>
      </w:pPr>
      <w:r>
        <w:rPr>
          <w:rFonts w:ascii="Times New Roman" w:hAnsi="Times New Roman"/>
          <w:b/>
          <w:color w:val="000000"/>
          <w:sz w:val="20"/>
        </w:rPr>
        <w:t>Delivery Commitments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We have various volume delivery commitments that we expect to be able to fulfill from our own production; however, we may purchase third-party volumes to satisfy our commitments or pay demand fees for commitment shortfalls, should they occur. In the information below we have not considered any potential future renewals, although at times we will renew these agreements. As of December 31, 2025, our delivery commitments through 2037 were as follows: </w:t>
      </w:r>
    </w:p>
    <w:p>
      <w:pPr>
        <w:pStyle w:val="TextBody"/>
        <w:bidi w:val="0"/>
        <w:jc w:val="left"/>
        <w:rPr/>
      </w:pPr>
      <w:r>
        <w:rPr/>
        <w:t> </w:t>
      </w:r>
    </w:p>
    <w:tbl>
      <w:tblPr>
        <w:tblW w:w="5665" w:type="dxa"/>
        <w:jc w:val="left"/>
        <w:tblInd w:w="0" w:type="dxa"/>
        <w:tblLayout w:type="fixed"/>
        <w:tblCellMar>
          <w:top w:w="28" w:type="dxa"/>
          <w:left w:w="28" w:type="dxa"/>
          <w:bottom w:w="28" w:type="dxa"/>
          <w:right w:w="28" w:type="dxa"/>
        </w:tblCellMar>
      </w:tblPr>
      <w:tblGrid>
        <w:gridCol w:w="2191"/>
        <w:gridCol w:w="146"/>
        <w:gridCol w:w="1441"/>
        <w:gridCol w:w="146"/>
        <w:gridCol w:w="1741"/>
      </w:tblGrid>
      <w:tr>
        <w:trPr/>
        <w:tc>
          <w:tcPr>
            <w:tcW w:w="2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r>
      <w:tr>
        <w:trPr/>
        <w:tc>
          <w:tcPr>
            <w:tcW w:w="2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Ending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Natural Gas</w:t>
              <w:br/>
              <w:t>(Mmbtu per day)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Ethane and Propane</w:t>
              <w:br/>
              <w:t>(bbls per day)</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215,573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70,000</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199,245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66,233</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151,962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45,000</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33,444</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30,000</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16,575</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2032-2037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10,000 (each year)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to the amounts included in the above table, we have also entered into a new ten-year contract for the delivery of 75,000 mcf/day of natural gas that is contingent on additional third-party facility construction. We currently expect deliveries on this contract to begin in 2027.</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80"/>
        <w:jc w:val="left"/>
        <w:rPr>
          <w:rFonts w:ascii="Times New Roman" w:hAnsi="Times New Roman"/>
          <w:sz w:val="20"/>
        </w:rPr>
      </w:pPr>
      <w:r>
        <w:rPr>
          <w:rFonts w:ascii="Times New Roman" w:hAnsi="Times New Roman"/>
          <w:b/>
          <w:color w:val="000000"/>
          <w:sz w:val="20"/>
        </w:rPr>
        <w:t>Other</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We have lease acreage that is generally subject to expiration if initial wells are not drilled within a specified period, generally between three and five years. We do not expect to lose significant lease acreage because of failure to drill due to inadequate capital, equipment or personnel. However, based on our evaluation of prospective economics, including the cost of infrastructure to connect production, we have allowed acreage to expire and will allow additional acreage to expire in the future. To date, our expenditures to comply with environmental or safety regulations have not been a significant component of our cost structure and are not expected to be significant in the future. However, new regulations, enforcement policies, claims for damages or other events could result in significant future costs. We also regularly provide letters of credit in the normal course of business under certain contracts that may be drawn if we fail to perform under those contracts. </w:t>
      </w:r>
    </w:p>
    <w:p>
      <w:pPr>
        <w:pStyle w:val="TextBody"/>
        <w:bidi w:val="0"/>
        <w:spacing w:before="0" w:after="180"/>
        <w:jc w:val="left"/>
        <w:rPr>
          <w:rFonts w:ascii="Times New Roman" w:hAnsi="Times New Roman"/>
          <w:sz w:val="20"/>
        </w:rPr>
      </w:pPr>
      <w:bookmarkStart w:id="70" w:name="note_14"/>
      <w:bookmarkEnd w:id="70"/>
      <w:r>
        <w:rPr>
          <w:rFonts w:ascii="Times New Roman" w:hAnsi="Times New Roman"/>
          <w:b/>
          <w:color w:val="000000"/>
          <w:sz w:val="20"/>
        </w:rPr>
        <w:t>(14)</w:t>
      </w:r>
      <w:r>
        <w:rPr>
          <w:rFonts w:ascii="Times New Roman" w:hAnsi="Times New Roman"/>
          <w:color w:val="000000"/>
          <w:sz w:val="20"/>
        </w:rPr>
        <w:t xml:space="preserve"> </w:t>
      </w:r>
      <w:r>
        <w:rPr>
          <w:rFonts w:ascii="Times New Roman" w:hAnsi="Times New Roman"/>
          <w:b/>
          <w:color w:val="000000"/>
          <w:sz w:val="20"/>
        </w:rPr>
        <w:t>EXIT COSTS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August 2020, we sold our North Louisiana assets and retained certain gathering, transportation and processing obligations which extend into 2030. These are contracts where we will not realize any future benefit. The estimated obligations are included in current and long-term divestiture contract obligation in our consolidated balance sheets. In the year ended December 31, 2025, we recorded accretion expense of $33.1 million compared to $39.2 million in 2024 and $41.9 million in 2023. In 2025, we recorded a net adjustment of $7.4 million to decrease the obligation mainly due to a decrease in certain expected gathering and transportation costs. In 2024, we recorded a net adjustment of $2.1 million to decrease this obligation mainly due to a decrease in forecasted electricity rates. There are inherent uncertainties surrounding the retained obligation and, as a result, the determination of the accrued obligation required judgment and estimation. The actual settlement amount and timing may differ from our estimates. The estimated discounted value for this divestiture contract obligation was $278.4 million at December 31, 2025, of which $75.8 million is classified as short-term.</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In second quarter 2020, we negotiated capacity releases on certain transportation pipelines in Pennsylvania effective May 31, 2020 and extending through the remainder of the contract ending in 2024. As a result of these releases, we recorded exit costs of $10.4 million in 2020 which represented the discounted present value of our remaining obligations to the third party. As of December 31, 2024, this obligation was complete and has no remaining carrying value. There were no exit costs recorded in 2025 for this matter.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following summarizes our exit costs for the three years ended December 31, 2025, 2024 and 2023 (in thousands):</w:t>
      </w:r>
    </w:p>
    <w:tbl>
      <w:tblPr>
        <w:tblW w:w="6726" w:type="dxa"/>
        <w:jc w:val="left"/>
        <w:tblInd w:w="0" w:type="dxa"/>
        <w:tblLayout w:type="fixed"/>
        <w:tblCellMar>
          <w:top w:w="28" w:type="dxa"/>
          <w:left w:w="28" w:type="dxa"/>
          <w:bottom w:w="28" w:type="dxa"/>
          <w:right w:w="28" w:type="dxa"/>
        </w:tblCellMar>
      </w:tblPr>
      <w:tblGrid>
        <w:gridCol w:w="3436"/>
        <w:gridCol w:w="211"/>
        <w:gridCol w:w="676"/>
        <w:gridCol w:w="146"/>
        <w:gridCol w:w="211"/>
        <w:gridCol w:w="676"/>
        <w:gridCol w:w="146"/>
        <w:gridCol w:w="146"/>
        <w:gridCol w:w="211"/>
        <w:gridCol w:w="676"/>
        <w:gridCol w:w="191"/>
      </w:tblGrid>
      <w:tr>
        <w:trPr/>
        <w:tc>
          <w:tcPr>
            <w:tcW w:w="34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9"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Transportation contract capacity releases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Divestiture contract obligation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99,595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Total exit costs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99,940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180"/>
        <w:jc w:val="left"/>
        <w:rPr>
          <w:rFonts w:ascii="Times New Roman" w:hAnsi="Times New Roman"/>
          <w:color w:val="000000"/>
          <w:sz w:val="20"/>
        </w:rPr>
      </w:pPr>
      <w:r>
        <w:rPr>
          <w:rFonts w:ascii="Times New Roman" w:hAnsi="Times New Roman"/>
          <w:color w:val="000000"/>
          <w:sz w:val="20"/>
        </w:rPr>
        <w:t>The following details the accrued exit cost liability activity for the divestiture contract obligation only for years ended December 31, 2025 and 2024 (in thousands):</w:t>
      </w:r>
    </w:p>
    <w:tbl>
      <w:tblPr>
        <w:tblW w:w="4089" w:type="dxa"/>
        <w:jc w:val="left"/>
        <w:tblInd w:w="0" w:type="dxa"/>
        <w:tblLayout w:type="fixed"/>
        <w:tblCellMar>
          <w:top w:w="28" w:type="dxa"/>
          <w:left w:w="28" w:type="dxa"/>
          <w:bottom w:w="28" w:type="dxa"/>
          <w:right w:w="28" w:type="dxa"/>
        </w:tblCellMar>
      </w:tblPr>
      <w:tblGrid>
        <w:gridCol w:w="2686"/>
        <w:gridCol w:w="211"/>
        <w:gridCol w:w="781"/>
        <w:gridCol w:w="411"/>
      </w:tblGrid>
      <w:tr>
        <w:trPr/>
        <w:tc>
          <w:tcPr>
            <w:tcW w:w="26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Exit Costs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397,449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Accretion of discount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39,185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estimate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(90,229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344,308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Accretion of discount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33,135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estimate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(91,626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278,428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80"/>
        <w:jc w:val="left"/>
        <w:rPr>
          <w:rFonts w:ascii="Times New Roman" w:hAnsi="Times New Roman"/>
          <w:color w:val="000000"/>
          <w:sz w:val="20"/>
        </w:rPr>
      </w:pPr>
      <w:r>
        <w:rPr>
          <w:rFonts w:ascii="Times New Roman" w:hAnsi="Times New Roman"/>
          <w:color w:val="000000"/>
          <w:sz w:val="20"/>
        </w:rPr>
        <w:t>As of December 31, 2025, our estimated settlement of the remaining divestiture contract obligation based on a discounted value is as follows (in thousands):</w:t>
      </w:r>
    </w:p>
    <w:tbl>
      <w:tblPr>
        <w:tblW w:w="1724" w:type="dxa"/>
        <w:jc w:val="left"/>
        <w:tblInd w:w="0" w:type="dxa"/>
        <w:tblLayout w:type="fixed"/>
        <w:tblCellMar>
          <w:top w:w="28" w:type="dxa"/>
          <w:left w:w="28" w:type="dxa"/>
          <w:bottom w:w="28" w:type="dxa"/>
          <w:right w:w="28" w:type="dxa"/>
        </w:tblCellMar>
      </w:tblPr>
      <w:tblGrid>
        <w:gridCol w:w="541"/>
        <w:gridCol w:w="211"/>
        <w:gridCol w:w="781"/>
        <w:gridCol w:w="191"/>
      </w:tblGrid>
      <w:tr>
        <w:trPr/>
        <w:tc>
          <w:tcPr>
            <w:tcW w:w="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Divestiture</w:t>
              <w:br/>
              <w:t>Contract</w:t>
              <w:br/>
              <w:t>Obligation</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75,842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64,374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58,875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53,463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25,874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278,428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80" w:after="180"/>
        <w:jc w:val="left"/>
        <w:rPr>
          <w:rFonts w:ascii="Times New Roman" w:hAnsi="Times New Roman"/>
          <w:sz w:val="20"/>
        </w:rPr>
      </w:pPr>
      <w:bookmarkStart w:id="71" w:name="note_15"/>
      <w:bookmarkEnd w:id="71"/>
      <w:r>
        <w:rPr>
          <w:rFonts w:ascii="Times New Roman" w:hAnsi="Times New Roman"/>
          <w:color w:val="000000"/>
          <w:sz w:val="20"/>
        </w:rPr>
        <w:t>(</w:t>
      </w:r>
      <w:r>
        <w:rPr>
          <w:rFonts w:ascii="Times New Roman" w:hAnsi="Times New Roman"/>
          <w:b/>
          <w:color w:val="000000"/>
          <w:sz w:val="20"/>
        </w:rPr>
        <w:t>15) SUSPENDED EXPLORATORY WELL COSTS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We capitalize exploratory well costs until a determination is made that the well has either found proved reserves or that it is impaired. Capitalized exploratory well costs are presented in natural gas, NGLs and oil properties in the accompanying consolidated balance sheets. If an exploratory well is determined to be impaired, the well costs are charged to exploration expense in the accompanying consolidated statements of income.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believe these exploratory wells exhibit sufficient quantities of natural gas to justify future development. These suspended wells require completion activities and infrastructure expansion in order to classify the reserves as proved. The following table reflects the changes in capitalized exploratory well costs for the years ended December 31, 2025 and 2024 (in thousands):</w:t>
      </w:r>
    </w:p>
    <w:tbl>
      <w:tblPr>
        <w:tblW w:w="10205" w:type="dxa"/>
        <w:jc w:val="left"/>
        <w:tblInd w:w="0" w:type="dxa"/>
        <w:tblLayout w:type="fixed"/>
        <w:tblCellMar>
          <w:top w:w="28" w:type="dxa"/>
          <w:left w:w="28" w:type="dxa"/>
          <w:bottom w:w="28" w:type="dxa"/>
          <w:right w:w="28" w:type="dxa"/>
        </w:tblCellMar>
      </w:tblPr>
      <w:tblGrid>
        <w:gridCol w:w="7458"/>
        <w:gridCol w:w="146"/>
        <w:gridCol w:w="215"/>
        <w:gridCol w:w="690"/>
        <w:gridCol w:w="148"/>
        <w:gridCol w:w="148"/>
        <w:gridCol w:w="215"/>
        <w:gridCol w:w="690"/>
        <w:gridCol w:w="495"/>
      </w:tblGrid>
      <w:tr>
        <w:trPr/>
        <w:tc>
          <w:tcPr>
            <w:tcW w:w="74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7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49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74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12,569</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5"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458"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Additions to capitalized exploratory well costs pending the determination of proved reserves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6,723</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12,569</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458"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Reclassifications to wells, facilities and equipment based on determination of proved reserves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5"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458"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Capitalized exploratory well costs, charged to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19,292</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12,569</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7458"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Less exploratory well costs that have been capitalized for a period of one year or 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12,569</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exploratory well costs that have been capitalized for a period greater than one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19,292</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7458"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Number of projects that have exploratory well costs capitalized for a period greater than one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80"/>
        <w:jc w:val="left"/>
        <w:rPr>
          <w:rFonts w:ascii="Times New Roman" w:hAnsi="Times New Roman"/>
          <w:sz w:val="20"/>
        </w:rPr>
      </w:pPr>
      <w:bookmarkStart w:id="72" w:name="note_16"/>
      <w:bookmarkEnd w:id="72"/>
      <w:r>
        <w:rPr>
          <w:rFonts w:ascii="Times New Roman" w:hAnsi="Times New Roman"/>
          <w:b/>
          <w:color w:val="000000"/>
          <w:sz w:val="20"/>
        </w:rPr>
        <w:t>(16)</w:t>
      </w:r>
      <w:r>
        <w:rPr>
          <w:rFonts w:ascii="Times New Roman" w:hAnsi="Times New Roman"/>
          <w:color w:val="000000"/>
          <w:sz w:val="20"/>
        </w:rPr>
        <w:t xml:space="preserve"> </w:t>
      </w:r>
      <w:r>
        <w:rPr>
          <w:rFonts w:ascii="Times New Roman" w:hAnsi="Times New Roman"/>
          <w:b/>
          <w:color w:val="000000"/>
          <w:sz w:val="20"/>
        </w:rPr>
        <w:t>SUPPLEMENTAL INFORMATION ON NATURAL GAS, NGLS AND OIL EXPLORATION, DEVELOPMENT AND PRODUCTION ACTIVITIES (UNAUDITED)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Our natural gas, NGLs and oil producing activities are conducted onshore within the continental United States and all of our proved reserves are located within the United States. </w:t>
      </w:r>
    </w:p>
    <w:p>
      <w:pPr>
        <w:pStyle w:val="TextBody"/>
        <w:bidi w:val="0"/>
        <w:spacing w:before="180" w:after="180"/>
        <w:jc w:val="left"/>
        <w:rPr>
          <w:rFonts w:ascii="Times New Roman" w:hAnsi="Times New Roman"/>
          <w:sz w:val="20"/>
        </w:rPr>
      </w:pPr>
      <w:r>
        <w:rPr>
          <w:rFonts w:ascii="Times New Roman" w:hAnsi="Times New Roman"/>
          <w:b/>
          <w:color w:val="000000"/>
          <w:sz w:val="20"/>
        </w:rPr>
        <w:t xml:space="preserve">Costs Incurred for Property Acquisition, Exploration and Development </w:t>
      </w:r>
      <w:r>
        <w:rPr>
          <w:rFonts w:ascii="Times New Roman" w:hAnsi="Times New Roman"/>
          <w:b/>
          <w:color w:val="000000"/>
          <w:sz w:val="13"/>
        </w:rPr>
        <w:t>(a)</w:t>
      </w:r>
    </w:p>
    <w:tbl>
      <w:tblPr>
        <w:tblW w:w="7352" w:type="dxa"/>
        <w:jc w:val="left"/>
        <w:tblInd w:w="0" w:type="dxa"/>
        <w:tblLayout w:type="fixed"/>
        <w:tblCellMar>
          <w:top w:w="28" w:type="dxa"/>
          <w:left w:w="28" w:type="dxa"/>
          <w:bottom w:w="28" w:type="dxa"/>
          <w:right w:w="28" w:type="dxa"/>
        </w:tblCellMar>
      </w:tblPr>
      <w:tblGrid>
        <w:gridCol w:w="3201"/>
        <w:gridCol w:w="211"/>
        <w:gridCol w:w="781"/>
        <w:gridCol w:w="146"/>
        <w:gridCol w:w="146"/>
        <w:gridCol w:w="211"/>
        <w:gridCol w:w="781"/>
        <w:gridCol w:w="146"/>
        <w:gridCol w:w="146"/>
        <w:gridCol w:w="211"/>
        <w:gridCol w:w="781"/>
        <w:gridCol w:w="591"/>
      </w:tblGrid>
      <w:tr>
        <w:trPr/>
        <w:tc>
          <w:tcPr>
            <w:tcW w:w="32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60" w:type="dxa"/>
            <w:gridSpan w:val="10"/>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 thousands)</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Acquisitions:</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Acreage purchases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40,067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Development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601,326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577,093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568,484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Exploration:</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Drilling</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Expense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25,280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Pipeline and facilities:</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Development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Subtotal</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698,890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678,710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638,204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 retirement obligations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costs incurred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707,257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692,555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642,820</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4367" w:type="dxa"/>
        <w:jc w:val="left"/>
        <w:tblInd w:w="0" w:type="dxa"/>
        <w:tblLayout w:type="fixed"/>
        <w:tblCellMar>
          <w:top w:w="28" w:type="dxa"/>
          <w:left w:w="28" w:type="dxa"/>
          <w:bottom w:w="28" w:type="dxa"/>
          <w:right w:w="28" w:type="dxa"/>
        </w:tblCellMar>
      </w:tblPr>
      <w:tblGrid>
        <w:gridCol w:w="271"/>
        <w:gridCol w:w="4096"/>
      </w:tblGrid>
      <w:tr>
        <w:trPr/>
        <w:tc>
          <w:tcPr>
            <w:tcW w:w="271" w:type="dxa"/>
            <w:tcBorders/>
            <w:vAlign w:val="center"/>
          </w:tcPr>
          <w:p>
            <w:pPr>
              <w:pStyle w:val="TableContents"/>
              <w:bidi w:val="0"/>
              <w:spacing w:before="0" w:after="283"/>
              <w:jc w:val="left"/>
              <w:rPr>
                <w:sz w:val="4"/>
                <w:szCs w:val="4"/>
              </w:rPr>
            </w:pPr>
            <w:r>
              <w:rPr>
                <w:sz w:val="4"/>
                <w:szCs w:val="4"/>
              </w:rPr>
            </w:r>
          </w:p>
        </w:tc>
        <w:tc>
          <w:tcPr>
            <w:tcW w:w="4096" w:type="dxa"/>
            <w:tcBorders/>
            <w:vAlign w:val="center"/>
          </w:tcPr>
          <w:p>
            <w:pPr>
              <w:pStyle w:val="TableContents"/>
              <w:bidi w:val="0"/>
              <w:spacing w:before="0" w:after="283"/>
              <w:jc w:val="left"/>
              <w:rPr>
                <w:sz w:val="4"/>
                <w:szCs w:val="4"/>
              </w:rPr>
            </w:pPr>
            <w:r>
              <w:rPr>
                <w:sz w:val="4"/>
                <w:szCs w:val="4"/>
              </w:rPr>
            </w:r>
          </w:p>
        </w:tc>
      </w:tr>
      <w:tr>
        <w:trPr/>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w:t>
            </w:r>
          </w:p>
        </w:tc>
        <w:tc>
          <w:tcPr>
            <w:tcW w:w="4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Includes cost incurred whether capitalized or expensed. </w:t>
            </w:r>
          </w:p>
        </w:tc>
      </w:tr>
    </w:tbl>
    <w:p>
      <w:pPr>
        <w:pStyle w:val="TextBody"/>
        <w:bidi w:val="0"/>
        <w:spacing w:before="360" w:after="180"/>
        <w:jc w:val="left"/>
        <w:rPr>
          <w:rFonts w:ascii="Times New Roman" w:hAnsi="Times New Roman"/>
          <w:sz w:val="20"/>
        </w:rPr>
      </w:pPr>
      <w:r>
        <w:rPr>
          <w:rFonts w:ascii="Times New Roman" w:hAnsi="Times New Roman"/>
          <w:b/>
          <w:color w:val="000000"/>
          <w:sz w:val="20"/>
        </w:rPr>
        <w:t>Reserves Audit</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All reserve information in this report is based on estimates prepared by our petroleum engineering staff. At year-end 2025, Netherland, Sewell &amp; Associates, Inc., an independent petroleum consultant, conducted an audit of our 2025 reserves in Appalachia. These engineers were selected for their geographic expertise and their historical experience in engineering certain properties. The proved reserve audits performed for 2025, 2024 and 2023, in the aggregate, represented 96% for each of the three years. The reserve audits performed for 2025, 2024 and 2023, in the aggregate, represented 96%, 99% and 99%, respectively, of our 2025, 2024 and 2023 associated pre-tax present value of proved reserves discounted at ten percent. A copy of the reserve summary report prepared by the independent petroleum consultant is included as an exhibit to this Annual Report on Form 10-K. The technical person at our independent petroleum consulting firm responsible for reviewing the reserves estimates presented herein meets the requirements regarding qualifications, independence, objectivity and confidentiality set forth in the Standards Pertaining to the Estimating and Auditing of Oil and Gas Reserves Information promulgated by the Society of Petroleum Engineers. We maintain an internal staff of petroleum engineers and geoscience professionals who work closely with our independent petroleum consultant to ensure the integrity, accuracy and timeliness of data furnished during the reserves audit process. Throughout the year, our technical team meets periodically with representatives of our independent petroleum consultant to review properties and discuss methods and assumptions. While we have no formal committee specifically designated to review reserves reporting and the reserves estimation process, our senior management and board of directors review our reserve estimates and related reports with Mr. Farquharson and other members of our technical staff. Our senior management also reviews and approves any significant changes to our proved reserves. Additionally, on an annual basis the board of directors approves the development plan. We provide historical information to our consultant for our largest producing properties such as ownership interest, natural gas, NGLs and oil production, well test data, commodity prices and operating and development costs. The consultants perform an independent analysis and differences are reviewed with our Senior Vice President of Reservoir Engineering and Economics. In some cases, additional meetings are held to review identified reserve differences. The reserve auditor estimates of proved reserves and the pretax present value of such reserves discounted at 10% did not differ from our estimates by more than 10% in the aggregate. However, when compared lease-by-lease, field-by-field or area-by-area, some of our estimates may be greater and some may be less than the estimates of our reserve auditor. When such differences do not exceed 10% in the aggregate, our reserve auditor is satisfied that the proved reserves and pretax present value of such reserves discounted at 10% are reasonable and will issue an unqualified opinion. Remaining differences are not resolved due to the limited cost benefit of continuing such analysis.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Historical variances between our reserve estimates and the aggregate estimates of our independent petroleum consultants have been approximately 6% or less. All of our reserve estimates are reviewed and approved by our Senior Vice President of Reservoir Engineering and Economics, who reports directly to our President and Chief Executive Officer. Mr. Alan Farquharson, our Senior Vice President of Reservoir Engineering and Economics, holds a Bachelor of Science degree in Electrical Engineering from the Pennsylvania State University. Before joining Range, he held various technical and managerial positions with Amoco, Hunt Oil and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Union Pacific Resources and has more than forty years of engineering experience in the oil and gas industry. During the year, our reserves group may also perform separate, detailed technical reviews of reserve estimates for significant acquisitions or for properties with problematic indicators such as excessively long lives, sudden changes in performance or changes in economic or operating conditions.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Estimated Quantities of Proved Natural Gas, NGLs and Oil Reserves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Reserves of natural gas, NGLs, and oil are estimated by our petroleum engineering staff and are adjusted to reflect contractual arrangements and royalty rates in effect at the end of each year. Many assumptions and judgmental decisions are required to estimate reserves. Reported quantities are subject to future revisions, some of which may be substantial, as additional information becomes available from reservoir performance, new geological and geophysical data, additional drilling, technological advancements, price changes, production taxes and other economic factors.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SEC defines proved reserves as those volumes of natural gas, NGLs, and oil that geological and engineering data demonstrate with reasonable certainty are recoverable in future years from known reservoirs under existing economic and operating conditions. The term "reasonable certainty" implies a high degree of confidence that the quantities of natural gas, NGLs and oil actually recovered will equal or exceed the estimate. To achieve reasonable certainty, our internal technical staff employs technologies that have been demonstrated to yield results with consistency and repeatability. The technologies and economic data used in the estimation of our proved reserves include, but are not limited to, empirical evidence through drilling results and well performance, decline curve analysis, well logs, geologic maps and available downhole and production data, seismic data, well test data, reservoir simulation modeling and implementation and application of enhanced data analytics.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Proved developed reserves are those proved reserves which can be expected to be recovered from existing wells with existing equipment and operating methods. Proved undeveloped reserves are volumes expected to be recovered from new wells on undrilled acreage or from existing wells where a relatively major expenditure is required for recompletion. Reserves on undrilled acreage shall be limited to those drilling units offsetting productive units that are reasonably certain of production when drilled. Proved reserves for other undrilled units can be claimed only where it can be demonstrated with certainty that there is continuity of production from the existing productive formation. Proved undeveloped reserves can only be assigned to acreage for which improved recovery technology is contemplated when such techniques have been proven effective by actual tests in the area and in the same reservoir. Undrilled locations can be classified as having undeveloped reserves only if a development plan has been adopted indicating each location is scheduled to be drilled within five years from the date it was booked as proved reserves, unless specific circumstances justify a longer time.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reported value of proved reserves is not necessarily indicative of either fair market value or present value of future net cash flows because prices, costs and governmental policies do not remain static, appropriate discount rates may vary, and extensive judgment is required to estimate the timing of production. Other logical assumptions would likely have resulted in significantly different amounts.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We produce NGLs as part of the processing of our natural gas. The extraction of NGLs in the processing of natural gas reduces the volume of natural gas available for sale. At December 31, 2025, NGLs represented approximately 34% of our total proved reserves on an mcf equivalent basis. NGLs are products priced by the gallon (and sold by the barrel) to our customers. In reporting proved reserves and production of NGLs, we have included production and reserves in barrels. Prices for a barrel of NGLs in 2025 averaged approximately 37% of the average price for equivalent volumes of oil. We report all production information related to natural gas net of the effect of any reduction in natural gas volumes resulting from the processing of NGLs. We currently include ethane in our proved reserves which match volumes to be delivered under our existing long-term, extendable ethane contracts.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average realized prices used at December 31, 2025 to estimate reserve information were $55.00 per barrel of oil, $25.03 per barrel of NGLs and $3.03 per mcf for gas using a benchmark (NYMEX) of $65.68 per barrel and $3.39 per Mmbtu. The average realized prices used at December 31, 2024 to estimate reserve information were $63.39 per barrel of oil, $24.40 per barrel of NGLs and $1.74 per mcf for gas using a benchmark (NYMEX) of $74.88 per barrel and $2.13 per Mmbtu. The average realized prices used at December 31, 2023 to estimate reserve information were $68.32 per barrel of oil, $24.91 per barrel of NGLs and $2.20 per mcf for gas using a benchmark of $78.10 per barrel and $2.62 per Mmbtu.</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526" w:type="dxa"/>
        <w:jc w:val="left"/>
        <w:tblInd w:w="0" w:type="dxa"/>
        <w:tblLayout w:type="fixed"/>
        <w:tblCellMar>
          <w:top w:w="28" w:type="dxa"/>
          <w:left w:w="28" w:type="dxa"/>
          <w:bottom w:w="28" w:type="dxa"/>
          <w:right w:w="28" w:type="dxa"/>
        </w:tblCellMar>
      </w:tblPr>
      <w:tblGrid>
        <w:gridCol w:w="3916"/>
        <w:gridCol w:w="146"/>
        <w:gridCol w:w="1036"/>
        <w:gridCol w:w="166"/>
        <w:gridCol w:w="146"/>
        <w:gridCol w:w="146"/>
        <w:gridCol w:w="931"/>
        <w:gridCol w:w="166"/>
        <w:gridCol w:w="146"/>
        <w:gridCol w:w="146"/>
        <w:gridCol w:w="676"/>
        <w:gridCol w:w="166"/>
        <w:gridCol w:w="146"/>
        <w:gridCol w:w="146"/>
        <w:gridCol w:w="1036"/>
        <w:gridCol w:w="41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Natural Gas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NGLs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Oil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Natural</w:t>
              <w:br/>
              <w:t>Gas</w:t>
              <w:br/>
              <w:t>Equivalents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(Mmcf)</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(Mbbls)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(Mbbls)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(Mmcfe) </w:t>
            </w:r>
            <w:r>
              <w:rPr>
                <w:rFonts w:ascii="Times New Roman" w:hAnsi="Times New Roman"/>
                <w:b/>
                <w:color w:val="000000"/>
                <w:sz w:val="12"/>
              </w:rPr>
              <w:t>(a)</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Proved developed and undeveloped reserves:</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December 31, 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11,797,972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1,003,958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18,077,656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Revisions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326,783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608,784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Extensions, discoveries and additions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207,260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Production</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(538,085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(780,575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11,610,748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1,040,767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18,113,125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Revisions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75,765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Extensions, discoveries and additions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578,660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749,362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(545,416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(796,235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11,650,749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1,043,333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18,131,475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Revisions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264,073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Extensions, discoveries and additions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510,915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562,372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Production</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(560,892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(816,058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December 31, 2025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11,715,912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1,038,163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18,141,862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Proved developed reserves:</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December 31, 2022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7,230,313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594,931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10,933,180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December 31, 2023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7,631,202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629,379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11,535,852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December 31, 2024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7,929,452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647,430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11,930,793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December 31,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8,381,647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715,291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12,801,132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Proved undeveloped reserves:</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December 31, 2022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4,567,659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409,027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7,144,476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December 31, 2023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3,979,546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411,388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6,577,273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December 31, 2024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3,721,297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395,903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6,200,682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December 31, 2025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3,334,265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322,872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5,340,730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1"/>
        <w:gridCol w:w="9954"/>
      </w:tblGrid>
      <w:tr>
        <w:trPr/>
        <w:tc>
          <w:tcPr>
            <w:tcW w:w="251" w:type="dxa"/>
            <w:tcBorders/>
            <w:vAlign w:val="center"/>
          </w:tcPr>
          <w:p>
            <w:pPr>
              <w:pStyle w:val="TableContents"/>
              <w:bidi w:val="0"/>
              <w:spacing w:before="0" w:after="283"/>
              <w:jc w:val="left"/>
              <w:rPr>
                <w:sz w:val="4"/>
                <w:szCs w:val="4"/>
              </w:rPr>
            </w:pPr>
            <w:r>
              <w:rPr>
                <w:sz w:val="4"/>
                <w:szCs w:val="4"/>
              </w:rPr>
            </w:r>
          </w:p>
        </w:tc>
        <w:tc>
          <w:tcPr>
            <w:tcW w:w="9954" w:type="dxa"/>
            <w:tcBorders/>
            <w:vAlign w:val="center"/>
          </w:tcPr>
          <w:p>
            <w:pPr>
              <w:pStyle w:val="TableContents"/>
              <w:bidi w:val="0"/>
              <w:spacing w:before="0" w:after="283"/>
              <w:jc w:val="left"/>
              <w:rPr>
                <w:sz w:val="4"/>
                <w:szCs w:val="4"/>
              </w:rPr>
            </w:pPr>
            <w:r>
              <w:rPr>
                <w:sz w:val="4"/>
                <w:szCs w:val="4"/>
              </w:rPr>
            </w:r>
          </w:p>
        </w:tc>
      </w:tr>
      <w:tr>
        <w:trPr/>
        <w:tc>
          <w:tcPr>
            <w:tcW w:w="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w:t>
            </w:r>
          </w:p>
        </w:tc>
        <w:tc>
          <w:tcPr>
            <w:tcW w:w="99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Oil and NGLs volumes are converted to mcfe at the rate of one barrel equals six mcf based upon the approximate relative energy content of oil to natural gas, which is not indicative of the relationship between oil and natural gas prices.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During 2025, revisions of previous estimates of a positive 264.1 Bcfe includes a positive revision of 114.2 Bcfe for previously undeveloped properties reclassified from non-proved properties due to their addition to our five-year development plan, positive performance revisions of 764.4 Bcfe due to improved well performance and longer lateral lengths and positive pricing revisions of 2.1 Bcfe partially offset by 616.6 Bcfe reclassified to unproved for previously planned wells not to be drilled within the original five-year development horizon. We added 562.4 Bcfe of proved reserves from drilling activities and evaluation of proved areas in Pennsylvania. Our ethane reserves are intended to match volumes delivered under our existing long-term, extendable contracts along with meeting pipeline specifications.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During 2024, revisions of previous estimates of a positive 75.8 Bcfe includes a positive revision of 457.2 Bcfe for previously undeveloped properties reclassified from non-proved properties due to their addition to our five-year development plan and positive performance revisions of 391.4 Bcfe due to improved well performance and longer lateral lengths partially offset by negative pricing revisions of 1.3 Bcfe and 771.5 Bcfe reclassified to unproved for previously planned wells not to be drilled within the original five-year development horizon. We added 749.4 Bcfe of proved reserves from drilling activities and evaluation of proved areas in Pennsylvania. Our ethane reserves are intended to match volumes delivered under our existing long-term, extendable contracts along with meeting pipeline specifications.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During 2023, revisions of previous estimates of a positive 608.8 Bcfe include a positive revision of 280.2 Bcfe for previously proved undeveloped properties reclassified from non-proved properties due to their addition to our five-year development plan and positive performance revisions of 701.4 Bcfe due to improved well performance and longer lateral lengths partially offset by negative pricing revisions of 2.2 Bcfe and 370.6 Bcfe reclassified to unproved for previously planned wells not to be drilled within the original five-year development horizon. We added approximately 207.3 Bcfe of proved reserves from drilling activities and evaluation of proved areas in the Marcellus Shale.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The following details the changes in proved undeveloped reserves for 2025 (Mmcfe): </w:t>
      </w:r>
    </w:p>
    <w:p>
      <w:pPr>
        <w:pStyle w:val="TextBody"/>
        <w:bidi w:val="0"/>
        <w:jc w:val="left"/>
        <w:rPr/>
      </w:pPr>
      <w:r>
        <w:rPr/>
        <w:t> </w:t>
      </w:r>
    </w:p>
    <w:tbl>
      <w:tblPr>
        <w:tblW w:w="6919" w:type="dxa"/>
        <w:jc w:val="left"/>
        <w:tblInd w:w="0" w:type="dxa"/>
        <w:tblLayout w:type="fixed"/>
        <w:tblCellMar>
          <w:top w:w="28" w:type="dxa"/>
          <w:left w:w="28" w:type="dxa"/>
          <w:bottom w:w="28" w:type="dxa"/>
          <w:right w:w="28" w:type="dxa"/>
        </w:tblCellMar>
      </w:tblPr>
      <w:tblGrid>
        <w:gridCol w:w="5371"/>
        <w:gridCol w:w="146"/>
        <w:gridCol w:w="991"/>
        <w:gridCol w:w="411"/>
      </w:tblGrid>
      <w:tr>
        <w:trPr/>
        <w:tc>
          <w:tcPr>
            <w:tcW w:w="5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Beginning proved undeveloped reserves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6,200,682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Undeveloped reserves transferred to developed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(1,262,207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Revisions </w:t>
            </w:r>
            <w:r>
              <w:rPr>
                <w:rFonts w:ascii="Times New Roman" w:hAnsi="Times New Roman"/>
                <w:color w:val="000000"/>
                <w:sz w:val="13"/>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(127,819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Extension and discoveries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530,074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Ending proved undeveloped reserves at December 31,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5,340,730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6"/>
        <w:gridCol w:w="9969"/>
      </w:tblGrid>
      <w:tr>
        <w:trPr/>
        <w:tc>
          <w:tcPr>
            <w:tcW w:w="236" w:type="dxa"/>
            <w:tcBorders/>
            <w:vAlign w:val="center"/>
          </w:tcPr>
          <w:p>
            <w:pPr>
              <w:pStyle w:val="TableContents"/>
              <w:bidi w:val="0"/>
              <w:spacing w:before="0" w:after="283"/>
              <w:jc w:val="left"/>
              <w:rPr>
                <w:sz w:val="4"/>
                <w:szCs w:val="4"/>
              </w:rPr>
            </w:pPr>
            <w:r>
              <w:rPr>
                <w:sz w:val="4"/>
                <w:szCs w:val="4"/>
              </w:rPr>
            </w:r>
          </w:p>
        </w:tc>
        <w:tc>
          <w:tcPr>
            <w:tcW w:w="9969" w:type="dxa"/>
            <w:tcBorders/>
            <w:vAlign w:val="center"/>
          </w:tcPr>
          <w:p>
            <w:pPr>
              <w:pStyle w:val="TableContents"/>
              <w:bidi w:val="0"/>
              <w:spacing w:before="0" w:after="283"/>
              <w:jc w:val="left"/>
              <w:rPr>
                <w:sz w:val="4"/>
                <w:szCs w:val="4"/>
              </w:rPr>
            </w:pPr>
            <w:r>
              <w:rPr>
                <w:sz w:val="4"/>
                <w:szCs w:val="4"/>
              </w:rPr>
            </w:r>
          </w:p>
        </w:tc>
      </w:tr>
      <w:tr>
        <w:trPr/>
        <w:tc>
          <w:tcPr>
            <w:tcW w:w="2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w:t>
            </w:r>
          </w:p>
        </w:tc>
        <w:tc>
          <w:tcPr>
            <w:tcW w:w="996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Includes 114.2 Bcfe positive revision for previously proved undeveloped properties due to their addition back into our five year development plan along with 576.5 Bcfe of positive revisions due to improved recovery associated with extended lateral lengths. These are offset by a reduction of 202.0 Bcfe of revisions due to increased ethane recoveries and 616.5 Bcfe of proved undeveloped reserves removed and deferred due to the five-year rule which can be included in our future proved reserves as these locations are added back to our five-year development plan.</w:t>
            </w:r>
          </w:p>
        </w:tc>
      </w:tr>
    </w:tbl>
    <w:p>
      <w:pPr>
        <w:pStyle w:val="TextBody"/>
        <w:bidi w:val="0"/>
        <w:spacing w:before="360" w:after="180"/>
        <w:jc w:val="left"/>
        <w:rPr>
          <w:rFonts w:ascii="Times New Roman" w:hAnsi="Times New Roman"/>
          <w:color w:val="000000"/>
          <w:sz w:val="20"/>
        </w:rPr>
      </w:pPr>
      <w:r>
        <w:rPr>
          <w:rFonts w:ascii="Times New Roman" w:hAnsi="Times New Roman"/>
          <w:color w:val="000000"/>
          <w:sz w:val="20"/>
        </w:rPr>
        <w:t xml:space="preserve">During 2025, we spent $544.1 million on development costs related to proved undeveloped reserves that were transferred to developed reserves. Estimated future development costs of proved undeveloped reserves are projected to be approximately $1.8 billion. As of December 31, 2025, we have no proved undeveloped reserves that have been reported for more than five years from their original date of booking. All of our recorded proved undeveloped drilling locations are scheduled to be drilled within five years of initial disclosure. </w:t>
      </w:r>
    </w:p>
    <w:p>
      <w:pPr>
        <w:pStyle w:val="TextBody"/>
        <w:bidi w:val="0"/>
        <w:spacing w:before="0" w:after="180"/>
        <w:jc w:val="left"/>
        <w:rPr>
          <w:rFonts w:ascii="Times New Roman" w:hAnsi="Times New Roman"/>
          <w:sz w:val="20"/>
        </w:rPr>
      </w:pPr>
      <w:r>
        <w:rPr>
          <w:rFonts w:ascii="Times New Roman" w:hAnsi="Times New Roman"/>
          <w:b/>
          <w:color w:val="000000"/>
          <w:sz w:val="20"/>
        </w:rPr>
        <w:t>Standardized Measure of Discounted Future Net Cash Flows Relating to Proved Natural Gas, NGLs and Oil Reserves (Unaudited)</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following summarizes the policies we used in the preparation of the accompanying natural gas, NGLs and oil reserve disclosures, standardized measures of discounted future net cash flows from proved natural gas, NGLs and oil reserves and the reconciliations of standardized measures from year-to-year. The information disclosed is an attempt to present the information in a manner comparable with industry peers.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information is based on estimates of proved reserves attributable to our interest in natural gas, NGLs and oil properties as of December 31 of the years presented. These estimates were prepared by our petroleum engineering staff. Proved reserves are estimated quantities of natural gas, NGLs, and oil which geological and engineering data demonstrate with reasonable certainty to be recoverable in future years from known reservoirs under existing economic and operating conditions.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standardized measure of discounted future net cash flows from production of proved reserves was developed as follows: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Estimates are made of quantities of proved reserves and future amounts expected to be produced based on current year-end economic conditions.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For the years ended 2025, 2024 and 2023, estimated future cash inflows are calculated by applying a twelve-month average price of natural gas, NGLs and oil relating to our proved reserves to the quantities of those reserves produced in each future year.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Future cash flows are reduced by estimated production costs, administrative costs, costs to develop and produce the proved reserves and abandonment costs, all based on current year-end economic conditions. Future income tax expenses are based on current year-end statutory tax rates giving effect to the remaining tax basis in the natural gas, NGLs and oil properties, other deductions, credits and allowances relating to our proved natural gas, NGLs and oil reserves.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resulting future net cash flows are discounted to present value by applying a discount rate of 10%. </w:t>
      </w:r>
    </w:p>
    <w:p>
      <w:pPr>
        <w:pStyle w:val="TextBody"/>
        <w:bidi w:val="0"/>
        <w:spacing w:before="60" w:after="180"/>
        <w:jc w:val="left"/>
        <w:rPr>
          <w:rFonts w:ascii="Times New Roman" w:hAnsi="Times New Roman"/>
          <w:color w:val="000000"/>
          <w:sz w:val="20"/>
        </w:rPr>
      </w:pPr>
      <w:r>
        <w:rPr>
          <w:rFonts w:ascii="Times New Roman" w:hAnsi="Times New Roman"/>
          <w:color w:val="000000"/>
          <w:sz w:val="20"/>
        </w:rPr>
        <w:t xml:space="preserve">The standardized measure of discounted future net cash flows does not purport, nor should it be interpreted, to present the fair value of our natural gas, NGLs and oil reserves. An estimate of fair value would also take into account, among other things, the recovery of reserves not presently classified as proved, anticipated future changes in prices and costs and a discount factor more representative of the time value of money and the risks inherent in reserve estimates.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standardized measure of discounted future net cash flows relating to proved natural gas, NGLs, and oil reserves is as follows and excludes cash flows associated with derivatives outstanding at each of the respective reporting dates. Future cash inflows are net of third-party transportation, gathering and compression expense.</w:t>
      </w:r>
    </w:p>
    <w:tbl>
      <w:tblPr>
        <w:tblW w:w="8093" w:type="dxa"/>
        <w:jc w:val="left"/>
        <w:tblInd w:w="0" w:type="dxa"/>
        <w:tblLayout w:type="fixed"/>
        <w:tblCellMar>
          <w:top w:w="28" w:type="dxa"/>
          <w:left w:w="28" w:type="dxa"/>
          <w:bottom w:w="28" w:type="dxa"/>
          <w:right w:w="28" w:type="dxa"/>
        </w:tblCellMar>
      </w:tblPr>
      <w:tblGrid>
        <w:gridCol w:w="4756"/>
        <w:gridCol w:w="211"/>
        <w:gridCol w:w="1096"/>
        <w:gridCol w:w="166"/>
        <w:gridCol w:w="146"/>
        <w:gridCol w:w="211"/>
        <w:gridCol w:w="1096"/>
        <w:gridCol w:w="411"/>
      </w:tblGrid>
      <w:tr>
        <w:trPr/>
        <w:tc>
          <w:tcPr>
            <w:tcW w:w="47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26" w:type="dxa"/>
            <w:gridSpan w:val="6"/>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 thousands)</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Future cash inflows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63,285,336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48,101,796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Future costs:</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(31,707,746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(30,097,778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Development </w:t>
            </w:r>
            <w:r>
              <w:rPr>
                <w:rFonts w:ascii="Times New Roman" w:hAnsi="Times New Roman"/>
                <w:color w:val="000000"/>
                <w:sz w:val="13"/>
              </w:rPr>
              <w:t>(a)</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(2,282,348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(2,742,638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Future net cash flows before income taxes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29,295,242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15,261,380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Future income tax expense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(2,876,562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future net cash flows before 10% discount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23,295,235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12,384,818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10% annual discount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(13,659,146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(7,693,744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Standardized measure of discounted future net cash flows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9,636,089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4,691,074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6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67"/>
        <w:gridCol w:w="9938"/>
      </w:tblGrid>
      <w:tr>
        <w:trPr/>
        <w:tc>
          <w:tcPr>
            <w:tcW w:w="267" w:type="dxa"/>
            <w:tcBorders/>
            <w:vAlign w:val="center"/>
          </w:tcPr>
          <w:p>
            <w:pPr>
              <w:pStyle w:val="TableContents"/>
              <w:bidi w:val="0"/>
              <w:spacing w:before="0" w:after="283"/>
              <w:jc w:val="left"/>
              <w:rPr>
                <w:sz w:val="4"/>
                <w:szCs w:val="4"/>
              </w:rPr>
            </w:pPr>
            <w:r>
              <w:rPr>
                <w:sz w:val="4"/>
                <w:szCs w:val="4"/>
              </w:rPr>
            </w:r>
          </w:p>
        </w:tc>
        <w:tc>
          <w:tcPr>
            <w:tcW w:w="9938" w:type="dxa"/>
            <w:tcBorders/>
            <w:vAlign w:val="center"/>
          </w:tcPr>
          <w:p>
            <w:pPr>
              <w:pStyle w:val="TableContents"/>
              <w:bidi w:val="0"/>
              <w:spacing w:before="0" w:after="283"/>
              <w:jc w:val="left"/>
              <w:rPr>
                <w:sz w:val="4"/>
                <w:szCs w:val="4"/>
              </w:rPr>
            </w:pPr>
            <w:r>
              <w:rPr>
                <w:sz w:val="4"/>
                <w:szCs w:val="4"/>
              </w:rPr>
            </w:r>
          </w:p>
        </w:tc>
      </w:tr>
      <w:tr>
        <w:trPr/>
        <w:tc>
          <w:tcPr>
            <w:tcW w:w="26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w:t>
            </w:r>
          </w:p>
        </w:tc>
        <w:tc>
          <w:tcPr>
            <w:tcW w:w="993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Includes $425.6 million of undiscounted future asset retirement costs as of December 31, 2025, using current estimates of future abandonment costs.</w:t>
            </w:r>
          </w:p>
        </w:tc>
      </w:tr>
    </w:tbl>
    <w:p>
      <w:pPr>
        <w:pStyle w:val="TextBody"/>
        <w:bidi w:val="0"/>
        <w:spacing w:before="360" w:after="180"/>
        <w:jc w:val="left"/>
        <w:rPr>
          <w:rFonts w:ascii="Times New Roman" w:hAnsi="Times New Roman"/>
          <w:color w:val="000000"/>
          <w:sz w:val="20"/>
        </w:rPr>
      </w:pPr>
      <w:r>
        <w:rPr>
          <w:rFonts w:ascii="Times New Roman" w:hAnsi="Times New Roman"/>
          <w:color w:val="000000"/>
          <w:sz w:val="20"/>
        </w:rPr>
        <w:t xml:space="preserve">The following table summarizes changes in the standardized measure of discounted future net cash flows. </w:t>
      </w:r>
    </w:p>
    <w:tbl>
      <w:tblPr>
        <w:tblW w:w="9567" w:type="dxa"/>
        <w:jc w:val="left"/>
        <w:tblInd w:w="0" w:type="dxa"/>
        <w:tblLayout w:type="fixed"/>
        <w:tblCellMar>
          <w:top w:w="28" w:type="dxa"/>
          <w:left w:w="28" w:type="dxa"/>
          <w:bottom w:w="28" w:type="dxa"/>
          <w:right w:w="28" w:type="dxa"/>
        </w:tblCellMar>
      </w:tblPr>
      <w:tblGrid>
        <w:gridCol w:w="4821"/>
        <w:gridCol w:w="211"/>
        <w:gridCol w:w="991"/>
        <w:gridCol w:w="166"/>
        <w:gridCol w:w="146"/>
        <w:gridCol w:w="211"/>
        <w:gridCol w:w="991"/>
        <w:gridCol w:w="166"/>
        <w:gridCol w:w="146"/>
        <w:gridCol w:w="211"/>
        <w:gridCol w:w="1096"/>
        <w:gridCol w:w="411"/>
      </w:tblGrid>
      <w:tr>
        <w:trPr/>
        <w:tc>
          <w:tcPr>
            <w:tcW w:w="48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8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3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335" w:type="dxa"/>
            <w:gridSpan w:val="10"/>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 thousands)</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Revisions of previous estimates:</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prices and production costs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6,142,721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(2,601,024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(23,584,574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Revisions in quantities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363,580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(131,078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future development and abandonment costs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(167,061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(123,529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change in income taxes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(1,167,401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324,863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3,920,556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Accretion of discount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545,396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792,623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2,955,359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to proved reserves from extensions,</w:t>
              <w:br/>
              <w:t>   discoveries and improved recovery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386,475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265,917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103,116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Natural gas, NGLs and oil sales, net of production costs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(1,457,275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(918,980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(1,100,908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Actual development costs incurred during the period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616,784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598,635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574,646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of reserves in place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timing and other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(351,144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(358,345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(320,385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change for the year</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4,945,015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(2,147,412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(17,706,797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Beginning of year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4,691,074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6,838,486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24,545,283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End of year</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9,636,089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4,691,074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6,838,486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sz w:val="20"/>
        </w:rPr>
      </w:pPr>
      <w:bookmarkStart w:id="73" w:name="changes_in_and_disagreements"/>
      <w:bookmarkEnd w:id="73"/>
      <w:r>
        <w:rPr>
          <w:rFonts w:ascii="Times New Roman" w:hAnsi="Times New Roman"/>
          <w:b/>
          <w:color w:val="000000"/>
          <w:sz w:val="20"/>
        </w:rPr>
        <w:t>ITEM 9. CHANGES IN AND DISAGREEMENTS WITH ACCOUNTANTS ON ACCOUNTING AND FINANCIAL DISCLOSURE</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0" w:after="180"/>
        <w:jc w:val="left"/>
        <w:rPr>
          <w:rFonts w:ascii="Times New Roman" w:hAnsi="Times New Roman"/>
          <w:b/>
          <w:color w:val="000000"/>
          <w:sz w:val="20"/>
        </w:rPr>
      </w:pPr>
      <w:bookmarkStart w:id="74" w:name="item_9a_controls_and_procedures"/>
      <w:bookmarkEnd w:id="74"/>
      <w:r>
        <w:rPr>
          <w:rFonts w:ascii="Times New Roman" w:hAnsi="Times New Roman"/>
          <w:b/>
          <w:color w:val="000000"/>
          <w:sz w:val="20"/>
        </w:rPr>
        <w:t>ITEM 9A. CONTROLS AND PROCEDURES</w:t>
      </w:r>
    </w:p>
    <w:p>
      <w:pPr>
        <w:pStyle w:val="TextBody"/>
        <w:bidi w:val="0"/>
        <w:spacing w:before="0" w:after="180"/>
        <w:jc w:val="left"/>
        <w:rPr>
          <w:rFonts w:ascii="Times New Roman" w:hAnsi="Times New Roman"/>
          <w:sz w:val="20"/>
        </w:rPr>
      </w:pPr>
      <w:r>
        <w:rPr>
          <w:rFonts w:ascii="Times New Roman" w:hAnsi="Times New Roman"/>
          <w:i/>
          <w:color w:val="000000"/>
          <w:sz w:val="20"/>
        </w:rPr>
        <w:t xml:space="preserve">Evaluation of Disclosure Controls and Procedures. </w:t>
      </w:r>
      <w:r>
        <w:rPr>
          <w:rFonts w:ascii="Times New Roman" w:hAnsi="Times New Roman"/>
          <w:color w:val="000000"/>
          <w:sz w:val="20"/>
        </w:rPr>
        <w:t xml:space="preserve">As required by Rule 13a-15(b) under the Exchange Act, we have evaluated, under the supervision and with the participation of our management, including our principal executive officer and principal financial officer, the effectiveness of the design and operation of our disclosure controls and procedures (as defined in Rules 13a-15(e) and 15d-15(e) under the Exchange Act) as of the end of the period covered by this Form 10-K. Our disclosure controls and procedures are designed to provide reasonable assurance that information required to be disclosed by us in reports that we file under the Exchange Act is accumulated and communicated to our management, including our principal executive officer and principal financial officer, as appropriate, to allow timely decisions regarding required disclosure and is recorded, processed, summarized and reported within the time periods specified in the rules and forms of the SEC. Based upon the evaluation, our principal executive officer and principal financial officer concluded that our disclosure controls and procedures were effective as of December 31, 2025 at the reasonable assurance level. </w:t>
      </w:r>
    </w:p>
    <w:p>
      <w:pPr>
        <w:pStyle w:val="TextBody"/>
        <w:bidi w:val="0"/>
        <w:spacing w:before="0" w:after="180"/>
        <w:jc w:val="left"/>
        <w:rPr>
          <w:rFonts w:ascii="Times New Roman" w:hAnsi="Times New Roman"/>
          <w:sz w:val="20"/>
        </w:rPr>
      </w:pPr>
      <w:r>
        <w:rPr>
          <w:rFonts w:ascii="Times New Roman" w:hAnsi="Times New Roman"/>
          <w:i/>
          <w:color w:val="000000"/>
          <w:sz w:val="20"/>
        </w:rPr>
        <w:t>Changes in Internal Controls over Financial Reporting.</w:t>
      </w:r>
      <w:r>
        <w:rPr>
          <w:rFonts w:ascii="Times New Roman" w:hAnsi="Times New Roman"/>
          <w:color w:val="000000"/>
          <w:sz w:val="20"/>
        </w:rPr>
        <w:t xml:space="preserve"> There have been no changes in our system of internal control over financial reporting during the three months ended December 31, 2025 that have materially affected, or are reasonably likely to materially affect, our internal control over financial reporting. </w:t>
      </w:r>
    </w:p>
    <w:p>
      <w:pPr>
        <w:pStyle w:val="TextBody"/>
        <w:bidi w:val="0"/>
        <w:spacing w:before="0" w:after="180"/>
        <w:jc w:val="left"/>
        <w:rPr>
          <w:rFonts w:ascii="Times New Roman" w:hAnsi="Times New Roman"/>
          <w:sz w:val="20"/>
        </w:rPr>
      </w:pPr>
      <w:r>
        <w:rPr>
          <w:rFonts w:ascii="Times New Roman" w:hAnsi="Times New Roman"/>
          <w:i/>
          <w:color w:val="000000"/>
          <w:sz w:val="20"/>
        </w:rPr>
        <w:t xml:space="preserve">Management’s Annual Report on Internal Control over Financial Reporting. </w:t>
      </w:r>
      <w:r>
        <w:rPr>
          <w:rFonts w:ascii="Times New Roman" w:hAnsi="Times New Roman"/>
          <w:color w:val="000000"/>
          <w:sz w:val="20"/>
        </w:rPr>
        <w:t xml:space="preserve">See "Management’s Report on Internal Control over Financial Reporting" and "Report of Independent Registered Public Accounting Firm on Internal Control Over Financial Reporting" which appear on pages F-2 and F-3, respectively, under Item 8. Financial Statements and Supplementary Data. </w:t>
      </w:r>
    </w:p>
    <w:p>
      <w:pPr>
        <w:pStyle w:val="TextBody"/>
        <w:bidi w:val="0"/>
        <w:spacing w:before="0" w:after="180"/>
        <w:jc w:val="left"/>
        <w:rPr>
          <w:rFonts w:ascii="Times New Roman" w:hAnsi="Times New Roman"/>
          <w:sz w:val="20"/>
        </w:rPr>
      </w:pPr>
      <w:bookmarkStart w:id="75" w:name="item_9b_other_information"/>
      <w:bookmarkEnd w:id="75"/>
      <w:r>
        <w:rPr>
          <w:rFonts w:ascii="Times New Roman" w:hAnsi="Times New Roman"/>
          <w:b/>
          <w:color w:val="000000"/>
          <w:sz w:val="20"/>
        </w:rPr>
        <w:t>ITEM 9B. OTHER INFORMATION</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During the fourth quarter, no director or officer adopted or terminated a "Rule 10b5-1 trading arrangement" (as defined in Item 408(a) of Regulation S-K) or "non-Rule 10b5-1 trading arrangement" (as defined in Item 408 (c) of Regulation S-K).</w:t>
      </w:r>
    </w:p>
    <w:p>
      <w:pPr>
        <w:pStyle w:val="TextBody"/>
        <w:bidi w:val="0"/>
        <w:spacing w:before="0" w:after="180"/>
        <w:jc w:val="left"/>
        <w:rPr>
          <w:rFonts w:ascii="Times New Roman" w:hAnsi="Times New Roman"/>
          <w:sz w:val="20"/>
        </w:rPr>
      </w:pPr>
      <w:bookmarkStart w:id="76" w:name="disclosure_regarding_foreign"/>
      <w:bookmarkEnd w:id="76"/>
      <w:r>
        <w:rPr>
          <w:rFonts w:ascii="Times New Roman" w:hAnsi="Times New Roman"/>
          <w:b/>
          <w:color w:val="000000"/>
          <w:sz w:val="20"/>
        </w:rPr>
        <w:t>ITEM 9C. DISCLOSURE REGARDING FOREIGN JURISDICTIONS THAT PREVENT INSPECTIONS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Not applicable.</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360"/>
        <w:jc w:val="center"/>
        <w:rPr>
          <w:rFonts w:ascii="Times New Roman" w:hAnsi="Times New Roman"/>
          <w:sz w:val="20"/>
        </w:rPr>
      </w:pPr>
      <w:r>
        <w:rPr>
          <w:rFonts w:ascii="Times New Roman" w:hAnsi="Times New Roman"/>
          <w:b/>
          <w:caps/>
          <w:color w:val="000000"/>
          <w:sz w:val="20"/>
        </w:rPr>
        <w:t>PART III</w:t>
      </w:r>
      <w:r>
        <w:rPr>
          <w:rFonts w:ascii="Times New Roman" w:hAnsi="Times New Roman"/>
          <w:caps/>
          <w:color w:val="000000"/>
          <w:sz w:val="20"/>
        </w:rPr>
        <w:t xml:space="preserve"> </w:t>
      </w:r>
    </w:p>
    <w:p>
      <w:pPr>
        <w:pStyle w:val="TextBody"/>
        <w:bidi w:val="0"/>
        <w:spacing w:before="0" w:after="180"/>
        <w:jc w:val="left"/>
        <w:rPr>
          <w:rFonts w:ascii="Times New Roman" w:hAnsi="Times New Roman"/>
          <w:sz w:val="20"/>
        </w:rPr>
      </w:pPr>
      <w:bookmarkStart w:id="77" w:name="item_10_directors_executive_ficers_corpo"/>
      <w:bookmarkEnd w:id="77"/>
      <w:r>
        <w:rPr>
          <w:rFonts w:ascii="Times New Roman" w:hAnsi="Times New Roman"/>
          <w:b/>
          <w:color w:val="000000"/>
          <w:sz w:val="20"/>
        </w:rPr>
        <w:t>ITEM 10. DIRECTORS, EXECUTIVE OFFICERS AND CORPORATE GOVERNANCE</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Information required in response to this item will be set forth in the Range Proxy Statement for the 2026 Annual Meeting of Stockholders to be held in May 2026 and is incorporated herein by reference.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See "Executive Officers of the Registrant" under Item 1 of this Form 10-K for the information about our executive officers.</w:t>
      </w:r>
    </w:p>
    <w:p>
      <w:pPr>
        <w:pStyle w:val="TextBody"/>
        <w:bidi w:val="0"/>
        <w:spacing w:before="0" w:after="180"/>
        <w:jc w:val="left"/>
        <w:rPr>
          <w:rFonts w:ascii="Times New Roman" w:hAnsi="Times New Roman"/>
          <w:sz w:val="20"/>
        </w:rPr>
      </w:pPr>
      <w:r>
        <w:rPr>
          <w:rFonts w:ascii="Times New Roman" w:hAnsi="Times New Roman"/>
          <w:b/>
          <w:i/>
          <w:color w:val="000000"/>
          <w:sz w:val="20"/>
        </w:rPr>
        <w:t>Code of Ethics</w:t>
      </w:r>
      <w:r>
        <w:rPr>
          <w:rFonts w:ascii="Times New Roman" w:hAnsi="Times New Roman"/>
          <w:color w:val="000000"/>
          <w:sz w:val="20"/>
        </w:rPr>
        <w:t xml:space="preserve"> </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We have adopted a Code of Business Conduct and Ethics that applies to our principal executive officer, principal financial officer, principal accounting officer, or persons performing similar functions (as well as our directors and all other employees). A copy is available on our website, </w:t>
      </w:r>
      <w:r>
        <w:rPr>
          <w:rFonts w:ascii="Times New Roman" w:hAnsi="Times New Roman"/>
          <w:color w:val="000000"/>
          <w:sz w:val="20"/>
          <w:u w:val="single"/>
        </w:rPr>
        <w:t>www.rangeresources.com</w:t>
      </w:r>
      <w:r>
        <w:rPr>
          <w:rFonts w:ascii="Times New Roman" w:hAnsi="Times New Roman"/>
          <w:color w:val="000000"/>
          <w:sz w:val="20"/>
        </w:rPr>
        <w:t xml:space="preserve">, and a copy in print will be provided to any person without charge, upon request. Such requests should be directed to the Corporate Secretary, 100 Throckmorton Street, Suite 1200, Fort Worth, Texas 76102 or by calling (817) 870-2601. We intend to disclose any amendments to or waivers of the Code of Business Conduct and Ethics on behalf of our President and Chief Executive Officer, Chief Financial Officer, Controller and persons performing similar functions on our website, under the Corporate Governance caption, or in a report on Form 8-K (Item 5.05), promptly following the date of such amendment or waiver.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Insider Trading Policy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Our Insider Trading Policy governs the purchase, sale and/or other dispositions of our securities by our directors, officers and employees. We believe this policy is reasonably designed to promote compliance with insider trading laws, rules and regulations and the NYSE listing standards applicable to us. A copy of our Insider Trading Policy is incorporated as Exhibit 19.1 to this Annual Report on Form 10-K. The Company is not subject to the Insider Trading Policy. However, the Company does not trade in its securities when it is in possession of material nonpublic information other than pursuant to a previously adopted Rule 10b5-1 trading plan. </w:t>
      </w:r>
    </w:p>
    <w:p>
      <w:pPr>
        <w:pStyle w:val="TextBody"/>
        <w:bidi w:val="0"/>
        <w:spacing w:before="0" w:after="180"/>
        <w:jc w:val="left"/>
        <w:rPr>
          <w:rFonts w:ascii="Times New Roman" w:hAnsi="Times New Roman"/>
          <w:sz w:val="20"/>
        </w:rPr>
      </w:pPr>
      <w:bookmarkStart w:id="78" w:name="item_11_executive_compensation"/>
      <w:bookmarkEnd w:id="78"/>
      <w:r>
        <w:rPr>
          <w:rFonts w:ascii="Times New Roman" w:hAnsi="Times New Roman"/>
          <w:b/>
          <w:color w:val="000000"/>
          <w:sz w:val="20"/>
        </w:rPr>
        <w:t>ITEM 11. EXECUTIVE COMPENSATION</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Information required by this item is incorporated herein by reference to the disclosure made in the Range Proxy Statement for the 2026 Annual Meeting of Stockholders.</w:t>
      </w:r>
    </w:p>
    <w:p>
      <w:pPr>
        <w:pStyle w:val="TextBody"/>
        <w:bidi w:val="0"/>
        <w:spacing w:before="0" w:after="180"/>
        <w:jc w:val="left"/>
        <w:rPr>
          <w:rFonts w:ascii="Times New Roman" w:hAnsi="Times New Roman"/>
          <w:sz w:val="20"/>
        </w:rPr>
      </w:pPr>
      <w:bookmarkStart w:id="79" w:name="item_12_security_ownership_certain_benef"/>
      <w:bookmarkEnd w:id="79"/>
      <w:r>
        <w:rPr>
          <w:rFonts w:ascii="Times New Roman" w:hAnsi="Times New Roman"/>
          <w:b/>
          <w:color w:val="000000"/>
          <w:sz w:val="20"/>
        </w:rPr>
        <w:t>ITEM 12. SECURITY OWNERSHIP OF CERTAIN BENEFICIAL OWNERS AND MANAGEMENT AND RELATED STOCKHOLDER MATTERS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Information required by this item is incorporated herein by reference to the disclosure made in the Range Proxy Statement for the 2026 Annual Meeting of Stockholders. </w:t>
      </w:r>
    </w:p>
    <w:p>
      <w:pPr>
        <w:pStyle w:val="TextBody"/>
        <w:bidi w:val="0"/>
        <w:spacing w:before="0" w:after="180"/>
        <w:jc w:val="left"/>
        <w:rPr>
          <w:rFonts w:ascii="Times New Roman" w:hAnsi="Times New Roman"/>
          <w:sz w:val="20"/>
        </w:rPr>
      </w:pPr>
      <w:bookmarkStart w:id="80" w:name="certain_relationships"/>
      <w:bookmarkEnd w:id="80"/>
      <w:r>
        <w:rPr>
          <w:rFonts w:ascii="Times New Roman" w:hAnsi="Times New Roman"/>
          <w:b/>
          <w:color w:val="000000"/>
          <w:sz w:val="20"/>
        </w:rPr>
        <w:t>ITEM 13. CERTAIN RELATIONSHIPS AND RELATED TRANSACTIONS AND DIRECTOR INDEPENDENCE</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Information required by this item is incorporated herein by reference to the disclosure made in the Range Proxy Statement for the 2026 Annual Meeting of Stockholders. </w:t>
      </w:r>
    </w:p>
    <w:p>
      <w:pPr>
        <w:pStyle w:val="TextBody"/>
        <w:bidi w:val="0"/>
        <w:spacing w:before="0" w:after="180"/>
        <w:jc w:val="left"/>
        <w:rPr>
          <w:rFonts w:ascii="Times New Roman" w:hAnsi="Times New Roman"/>
          <w:sz w:val="20"/>
        </w:rPr>
      </w:pPr>
      <w:bookmarkStart w:id="81" w:name="principal_accountant_fees"/>
      <w:bookmarkEnd w:id="81"/>
      <w:r>
        <w:rPr>
          <w:rFonts w:ascii="Times New Roman" w:hAnsi="Times New Roman"/>
          <w:b/>
          <w:color w:val="000000"/>
          <w:sz w:val="20"/>
        </w:rPr>
        <w:t>ITEM 14. PRINCIPAL ACCOUNTANT FEES AND SERVICES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Information required by this item is incorporated herein by reference to the disclosure made in the Range Proxy Statement for the 2026 Annual Meeting of Stockholders. </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360"/>
        <w:jc w:val="center"/>
        <w:rPr>
          <w:rFonts w:ascii="Times New Roman" w:hAnsi="Times New Roman"/>
          <w:b/>
          <w:color w:val="000000"/>
          <w:sz w:val="20"/>
        </w:rPr>
      </w:pPr>
      <w:r>
        <w:rPr>
          <w:rFonts w:ascii="Times New Roman" w:hAnsi="Times New Roman"/>
          <w:b/>
          <w:color w:val="000000"/>
          <w:sz w:val="20"/>
        </w:rPr>
        <w:t>PART IV</w:t>
      </w:r>
    </w:p>
    <w:p>
      <w:pPr>
        <w:pStyle w:val="TextBody"/>
        <w:bidi w:val="0"/>
        <w:spacing w:before="0" w:after="180"/>
        <w:jc w:val="left"/>
        <w:rPr>
          <w:rFonts w:ascii="Times New Roman" w:hAnsi="Times New Roman"/>
          <w:sz w:val="20"/>
        </w:rPr>
      </w:pPr>
      <w:bookmarkStart w:id="82" w:name="item_15_exhibits_financial_statement_sch"/>
      <w:bookmarkEnd w:id="82"/>
      <w:r>
        <w:rPr>
          <w:rFonts w:ascii="Times New Roman" w:hAnsi="Times New Roman"/>
          <w:b/>
          <w:color w:val="000000"/>
          <w:sz w:val="20"/>
        </w:rPr>
        <w:t>ITEM 15. EXHIBITS AND FINANCIAL STATEMENT SCHEDULES</w:t>
      </w:r>
      <w:r>
        <w:rPr>
          <w:rFonts w:ascii="Times New Roman" w:hAnsi="Times New Roman"/>
          <w:color w:val="000000"/>
          <w:sz w:val="20"/>
        </w:rPr>
        <w:t xml:space="preserve">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(a)</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left"/>
        <w:rPr/>
      </w:pPr>
      <w:r>
        <w:rPr>
          <w:rFonts w:ascii="Times New Roman" w:hAnsi="Times New Roman"/>
          <w:b/>
          <w:color w:val="000000"/>
          <w:sz w:val="20"/>
        </w:rPr>
        <w:t>1. and 2</w:t>
      </w:r>
      <w:r>
        <w:rPr>
          <w:rFonts w:ascii="Times New Roman" w:hAnsi="Times New Roman"/>
          <w:color w:val="000000"/>
          <w:sz w:val="20"/>
        </w:rPr>
        <w:t>. Financial Statements and Financial Statement Schedules</w:t>
      </w:r>
      <w:bookmarkStart w:id="83" w:name="financial_statements_item15"/>
      <w:bookmarkStart w:id="84" w:name="financial_statements2"/>
      <w:bookmarkEnd w:id="83"/>
      <w:bookmarkEnd w:id="84"/>
      <w:r>
        <w:rPr>
          <w:color w:val="000000"/>
        </w:rPr>
        <w:t xml:space="preserve"> </w:t>
      </w:r>
      <w:r>
        <w:rPr>
          <w:rFonts w:ascii="Times New Roman" w:hAnsi="Times New Roman"/>
          <w:color w:val="000000"/>
          <w:sz w:val="20"/>
        </w:rPr>
        <w:t>- the financial statements and financial statement schedules listed in the Index to Financial Statements in Item 8 are filed as part of this Form 10-K.</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rFonts w:ascii="Times New Roman" w:hAnsi="Times New Roman"/>
          <w:sz w:val="20"/>
        </w:rPr>
      </w:pPr>
      <w:bookmarkStart w:id="85" w:name="n3_exhibits"/>
      <w:bookmarkEnd w:id="85"/>
      <w:r>
        <w:rPr>
          <w:rFonts w:ascii="Times New Roman" w:hAnsi="Times New Roman"/>
          <w:b/>
          <w:color w:val="000000"/>
          <w:sz w:val="20"/>
        </w:rPr>
        <w:t>3.</w:t>
      </w:r>
      <w:r>
        <w:rPr>
          <w:rFonts w:ascii="Times New Roman" w:hAnsi="Times New Roman"/>
          <w:color w:val="000000"/>
          <w:sz w:val="20"/>
        </w:rPr>
        <w:t xml:space="preserve"> Exhibits - the exhibits listed in the accompanying Exhibits Index are filed as part of this Form 10-K.</w:t>
      </w:r>
    </w:p>
    <w:tbl>
      <w:tblPr>
        <w:tblW w:w="10205" w:type="dxa"/>
        <w:jc w:val="left"/>
        <w:tblInd w:w="0" w:type="dxa"/>
        <w:tblLayout w:type="fixed"/>
        <w:tblCellMar>
          <w:top w:w="28" w:type="dxa"/>
          <w:left w:w="28" w:type="dxa"/>
          <w:bottom w:w="28" w:type="dxa"/>
          <w:right w:w="28" w:type="dxa"/>
        </w:tblCellMar>
      </w:tblPr>
      <w:tblGrid>
        <w:gridCol w:w="766"/>
        <w:gridCol w:w="146"/>
        <w:gridCol w:w="6474"/>
        <w:gridCol w:w="146"/>
        <w:gridCol w:w="592"/>
        <w:gridCol w:w="164"/>
        <w:gridCol w:w="761"/>
        <w:gridCol w:w="164"/>
        <w:gridCol w:w="774"/>
        <w:gridCol w:w="218"/>
      </w:tblGrid>
      <w:tr>
        <w:trPr/>
        <w:tc>
          <w:tcPr>
            <w:tcW w:w="7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47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92" w:type="dxa"/>
            <w:tcBorders/>
            <w:shd w:fill="FFFFFF" w:val="clear"/>
            <w:vAlign w:val="center"/>
          </w:tcPr>
          <w:p>
            <w:pPr>
              <w:pStyle w:val="TableContents"/>
              <w:bidi w:val="0"/>
              <w:spacing w:before="0" w:after="283"/>
              <w:jc w:val="left"/>
              <w:rPr>
                <w:sz w:val="4"/>
                <w:szCs w:val="4"/>
              </w:rPr>
            </w:pPr>
            <w:r>
              <w:rPr>
                <w:sz w:val="4"/>
                <w:szCs w:val="4"/>
              </w:rPr>
            </w:r>
          </w:p>
        </w:tc>
        <w:tc>
          <w:tcPr>
            <w:tcW w:w="164" w:type="dxa"/>
            <w:tcBorders/>
            <w:shd w:fill="FFFFFF" w:val="clear"/>
            <w:vAlign w:val="center"/>
          </w:tcPr>
          <w:p>
            <w:pPr>
              <w:pStyle w:val="TableContents"/>
              <w:bidi w:val="0"/>
              <w:spacing w:before="0" w:after="283"/>
              <w:jc w:val="left"/>
              <w:rPr>
                <w:sz w:val="4"/>
                <w:szCs w:val="4"/>
              </w:rPr>
            </w:pPr>
            <w:r>
              <w:rPr>
                <w:sz w:val="4"/>
                <w:szCs w:val="4"/>
              </w:rPr>
            </w:r>
          </w:p>
        </w:tc>
        <w:tc>
          <w:tcPr>
            <w:tcW w:w="761" w:type="dxa"/>
            <w:tcBorders/>
            <w:shd w:fill="FFFFFF" w:val="clear"/>
            <w:vAlign w:val="center"/>
          </w:tcPr>
          <w:p>
            <w:pPr>
              <w:pStyle w:val="TableContents"/>
              <w:bidi w:val="0"/>
              <w:spacing w:before="0" w:after="283"/>
              <w:jc w:val="left"/>
              <w:rPr>
                <w:sz w:val="4"/>
                <w:szCs w:val="4"/>
              </w:rPr>
            </w:pPr>
            <w:r>
              <w:rPr>
                <w:sz w:val="4"/>
                <w:szCs w:val="4"/>
              </w:rPr>
            </w:r>
          </w:p>
        </w:tc>
        <w:tc>
          <w:tcPr>
            <w:tcW w:w="164" w:type="dxa"/>
            <w:tcBorders/>
            <w:shd w:fill="FFFFFF" w:val="clear"/>
            <w:vAlign w:val="center"/>
          </w:tcPr>
          <w:p>
            <w:pPr>
              <w:pStyle w:val="TableContents"/>
              <w:bidi w:val="0"/>
              <w:spacing w:before="0" w:after="283"/>
              <w:jc w:val="left"/>
              <w:rPr>
                <w:sz w:val="4"/>
                <w:szCs w:val="4"/>
              </w:rPr>
            </w:pPr>
            <w:r>
              <w:rPr>
                <w:sz w:val="4"/>
                <w:szCs w:val="4"/>
              </w:rPr>
            </w:r>
          </w:p>
        </w:tc>
        <w:tc>
          <w:tcPr>
            <w:tcW w:w="774" w:type="dxa"/>
            <w:tcBorders/>
            <w:shd w:fill="FFFFFF" w:val="clear"/>
            <w:vAlign w:val="center"/>
          </w:tcPr>
          <w:p>
            <w:pPr>
              <w:pStyle w:val="TableContents"/>
              <w:bidi w:val="0"/>
              <w:spacing w:before="0" w:after="283"/>
              <w:jc w:val="left"/>
              <w:rPr>
                <w:sz w:val="4"/>
                <w:szCs w:val="4"/>
              </w:rPr>
            </w:pPr>
            <w:r>
              <w:rPr>
                <w:sz w:val="4"/>
                <w:szCs w:val="4"/>
              </w:rPr>
            </w:r>
          </w:p>
        </w:tc>
        <w:tc>
          <w:tcPr>
            <w:tcW w:w="218" w:type="dxa"/>
            <w:tcBorders/>
            <w:shd w:fill="FFFFFF" w:val="clear"/>
            <w:vAlign w:val="center"/>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7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73" w:type="dxa"/>
            <w:gridSpan w:val="6"/>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Incorporated by Reference (File No. 001-12209)</w:t>
            </w:r>
            <w:r>
              <w:rPr>
                <w:rFonts w:ascii="Times New Roman" w:hAnsi="Times New Roman"/>
                <w:color w:val="000000"/>
                <w:sz w:val="18"/>
              </w:rPr>
              <w:t xml:space="preserve"> </w:t>
            </w:r>
          </w:p>
        </w:tc>
      </w:tr>
      <w:tr>
        <w:trPr/>
        <w:tc>
          <w:tcPr>
            <w:tcW w:w="766"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Exhibit</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74"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Exhibit Description</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592"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Form</w:t>
            </w:r>
          </w:p>
        </w:tc>
        <w:tc>
          <w:tcPr>
            <w:tcW w:w="164"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76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Exhibit</w:t>
            </w:r>
          </w:p>
        </w:tc>
        <w:tc>
          <w:tcPr>
            <w:tcW w:w="164"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774"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Filing Date</w:t>
            </w:r>
          </w:p>
        </w:tc>
        <w:tc>
          <w:tcPr>
            <w:tcW w:w="218"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7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Articles of Incorporation and Bylaws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4"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6"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4" w:type="dxa"/>
            <w:tcBorders/>
            <w:tcMar>
              <w:top w:w="0" w:type="dxa"/>
              <w:left w:w="0" w:type="dxa"/>
              <w:bottom w:w="0" w:type="dxa"/>
              <w:right w:w="0" w:type="dxa"/>
            </w:tcMar>
            <w:vAlign w:val="center"/>
          </w:tcPr>
          <w:p>
            <w:pPr>
              <w:pStyle w:val="TableContents"/>
              <w:bidi w:val="0"/>
              <w:spacing w:before="180" w:after="283"/>
              <w:jc w:val="left"/>
              <w:rPr/>
            </w:pPr>
            <w:hyperlink r:id="rId5">
              <w:r>
                <w:rPr>
                  <w:rStyle w:val="InternetLink"/>
                  <w:rFonts w:ascii="Times New Roman" w:hAnsi="Times New Roman"/>
                  <w:color w:val="0000FF"/>
                  <w:sz w:val="18"/>
                  <w:u w:val="single"/>
                </w:rPr>
                <w:t>Restated Certificate of Incorporation of Range Resources Corporation</w:t>
              </w:r>
            </w:hyperlink>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592"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10-Q</w:t>
            </w:r>
          </w:p>
        </w:tc>
        <w:tc>
          <w:tcPr>
            <w:tcW w:w="164"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761"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3.1.1</w:t>
            </w:r>
          </w:p>
        </w:tc>
        <w:tc>
          <w:tcPr>
            <w:tcW w:w="164"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774"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5/5/2004</w:t>
            </w:r>
          </w:p>
        </w:tc>
        <w:tc>
          <w:tcPr>
            <w:tcW w:w="21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6"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3.2</w:t>
            </w:r>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6474" w:type="dxa"/>
            <w:tcBorders/>
            <w:tcMar>
              <w:top w:w="0" w:type="dxa"/>
              <w:left w:w="0" w:type="dxa"/>
              <w:bottom w:w="0" w:type="dxa"/>
              <w:right w:w="0" w:type="dxa"/>
            </w:tcMar>
            <w:vAlign w:val="center"/>
          </w:tcPr>
          <w:p>
            <w:pPr>
              <w:pStyle w:val="TableContents"/>
              <w:bidi w:val="0"/>
              <w:spacing w:before="180" w:after="283"/>
              <w:jc w:val="left"/>
              <w:rPr/>
            </w:pPr>
            <w:hyperlink r:id="rId6">
              <w:r>
                <w:rPr>
                  <w:rStyle w:val="InternetLink"/>
                  <w:rFonts w:ascii="Times New Roman" w:hAnsi="Times New Roman"/>
                  <w:color w:val="0000FF"/>
                  <w:sz w:val="18"/>
                  <w:u w:val="single"/>
                </w:rPr>
                <w:t>First Amendment to the Restated Certificate of Incorporation</w:t>
              </w:r>
            </w:hyperlink>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592"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10-Q</w:t>
            </w:r>
          </w:p>
        </w:tc>
        <w:tc>
          <w:tcPr>
            <w:tcW w:w="164"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761"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3.1</w:t>
            </w:r>
          </w:p>
        </w:tc>
        <w:tc>
          <w:tcPr>
            <w:tcW w:w="164"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774"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7/28/2005</w:t>
            </w:r>
          </w:p>
        </w:tc>
        <w:tc>
          <w:tcPr>
            <w:tcW w:w="21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6"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3.3</w:t>
            </w:r>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6474" w:type="dxa"/>
            <w:tcBorders/>
            <w:tcMar>
              <w:top w:w="0" w:type="dxa"/>
              <w:left w:w="0" w:type="dxa"/>
              <w:bottom w:w="0" w:type="dxa"/>
              <w:right w:w="0" w:type="dxa"/>
            </w:tcMar>
            <w:vAlign w:val="center"/>
          </w:tcPr>
          <w:p>
            <w:pPr>
              <w:pStyle w:val="TableContents"/>
              <w:bidi w:val="0"/>
              <w:spacing w:before="180" w:after="283"/>
              <w:jc w:val="left"/>
              <w:rPr/>
            </w:pPr>
            <w:hyperlink r:id="rId7">
              <w:r>
                <w:rPr>
                  <w:rStyle w:val="InternetLink"/>
                  <w:rFonts w:ascii="Times New Roman" w:hAnsi="Times New Roman"/>
                  <w:color w:val="0000FF"/>
                  <w:sz w:val="18"/>
                  <w:u w:val="single"/>
                </w:rPr>
                <w:t>Second Amendment to the Restated Certificate of Incorporation</w:t>
              </w:r>
            </w:hyperlink>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592"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10-Q</w:t>
            </w:r>
          </w:p>
        </w:tc>
        <w:tc>
          <w:tcPr>
            <w:tcW w:w="164"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761"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3.1</w:t>
            </w:r>
          </w:p>
        </w:tc>
        <w:tc>
          <w:tcPr>
            <w:tcW w:w="164"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774"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7/24/2008</w:t>
            </w:r>
          </w:p>
        </w:tc>
        <w:tc>
          <w:tcPr>
            <w:tcW w:w="21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6"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3.4</w:t>
            </w:r>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6474" w:type="dxa"/>
            <w:tcBorders/>
            <w:tcMar>
              <w:top w:w="0" w:type="dxa"/>
              <w:left w:w="0" w:type="dxa"/>
              <w:bottom w:w="0" w:type="dxa"/>
              <w:right w:w="0" w:type="dxa"/>
            </w:tcMar>
            <w:vAlign w:val="center"/>
          </w:tcPr>
          <w:p>
            <w:pPr>
              <w:pStyle w:val="TableContents"/>
              <w:bidi w:val="0"/>
              <w:spacing w:before="180" w:after="283"/>
              <w:jc w:val="left"/>
              <w:rPr/>
            </w:pPr>
            <w:hyperlink r:id="rId8">
              <w:r>
                <w:rPr>
                  <w:rStyle w:val="InternetLink"/>
                  <w:rFonts w:ascii="Times New Roman" w:hAnsi="Times New Roman"/>
                  <w:color w:val="0000FF"/>
                  <w:sz w:val="18"/>
                  <w:u w:val="single"/>
                </w:rPr>
                <w:t>Third Amendment to the Restated Certificate of Incorporation</w:t>
              </w:r>
            </w:hyperlink>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592"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8-K</w:t>
            </w:r>
          </w:p>
        </w:tc>
        <w:tc>
          <w:tcPr>
            <w:tcW w:w="164"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761"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3.1</w:t>
            </w:r>
          </w:p>
        </w:tc>
        <w:tc>
          <w:tcPr>
            <w:tcW w:w="164"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774"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5/8/2024</w:t>
            </w:r>
          </w:p>
        </w:tc>
        <w:tc>
          <w:tcPr>
            <w:tcW w:w="21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6"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3.5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4" w:type="dxa"/>
            <w:tcBorders/>
            <w:tcMar>
              <w:top w:w="0" w:type="dxa"/>
              <w:left w:w="0" w:type="dxa"/>
              <w:bottom w:w="0" w:type="dxa"/>
              <w:right w:w="0" w:type="dxa"/>
            </w:tcMar>
            <w:vAlign w:val="center"/>
          </w:tcPr>
          <w:p>
            <w:pPr>
              <w:pStyle w:val="TableContents"/>
              <w:bidi w:val="0"/>
              <w:spacing w:before="180" w:after="283"/>
              <w:jc w:val="left"/>
              <w:rPr/>
            </w:pPr>
            <w:hyperlink r:id="rId9">
              <w:r>
                <w:rPr>
                  <w:rStyle w:val="InternetLink"/>
                  <w:rFonts w:ascii="Times New Roman" w:hAnsi="Times New Roman"/>
                  <w:color w:val="0000FF"/>
                  <w:sz w:val="18"/>
                  <w:u w:val="single"/>
                </w:rPr>
                <w:t>Amended and Restated By-laws of Range Resources Corporation, as amended as of May 15, 2016</w:t>
              </w:r>
            </w:hyperlink>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592"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8-K</w:t>
            </w:r>
          </w:p>
        </w:tc>
        <w:tc>
          <w:tcPr>
            <w:tcW w:w="164"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761"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3.1</w:t>
            </w:r>
          </w:p>
        </w:tc>
        <w:tc>
          <w:tcPr>
            <w:tcW w:w="164"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774"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5/19/2016</w:t>
            </w:r>
          </w:p>
        </w:tc>
        <w:tc>
          <w:tcPr>
            <w:tcW w:w="21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6"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b/>
                <w:color w:val="000000"/>
                <w:sz w:val="18"/>
              </w:rPr>
            </w:pPr>
            <w:r>
              <w:rPr>
                <w:rFonts w:ascii="Times New Roman" w:hAnsi="Times New Roman"/>
                <w:b/>
                <w:color w:val="000000"/>
                <w:sz w:val="18"/>
              </w:rPr>
              <w:t>4</w:t>
            </w:r>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6474" w:type="dxa"/>
            <w:tcBorders/>
            <w:tcMar>
              <w:top w:w="0" w:type="dxa"/>
              <w:left w:w="0" w:type="dxa"/>
              <w:bottom w:w="0" w:type="dxa"/>
              <w:right w:w="0" w:type="dxa"/>
            </w:tcMar>
            <w:vAlign w:val="center"/>
          </w:tcPr>
          <w:p>
            <w:pPr>
              <w:pStyle w:val="TableContents"/>
              <w:bidi w:val="0"/>
              <w:spacing w:before="180" w:after="283"/>
              <w:jc w:val="left"/>
              <w:rPr>
                <w:rFonts w:ascii="Times New Roman" w:hAnsi="Times New Roman"/>
                <w:b/>
                <w:color w:val="000000"/>
                <w:sz w:val="18"/>
              </w:rPr>
            </w:pPr>
            <w:r>
              <w:rPr>
                <w:rFonts w:ascii="Times New Roman" w:hAnsi="Times New Roman"/>
                <w:b/>
                <w:color w:val="000000"/>
                <w:sz w:val="18"/>
              </w:rPr>
              <w:t>Instruments Defining the Rights of Security Holders, Including Indentures, and Description of Registrant's Securities</w:t>
            </w:r>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592"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164"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761"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164"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774"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21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6" w:type="dxa"/>
            <w:tcBorders/>
            <w:tcMar>
              <w:top w:w="0" w:type="dxa"/>
              <w:left w:w="0" w:type="dxa"/>
              <w:bottom w:w="0" w:type="dxa"/>
              <w:right w:w="0" w:type="dxa"/>
            </w:tcMar>
            <w:vAlign w:val="center"/>
          </w:tcPr>
          <w:p>
            <w:pPr>
              <w:pStyle w:val="TableContents"/>
              <w:bidi w:val="0"/>
              <w:spacing w:before="180" w:after="283"/>
              <w:jc w:val="center"/>
              <w:rPr>
                <w:color w:val="000000"/>
              </w:rPr>
            </w:pPr>
            <w:r>
              <w:rPr>
                <w:color w:val="000000"/>
              </w:rPr>
              <w:t> </w:t>
            </w:r>
            <w:r>
              <w:rPr>
                <w:rFonts w:ascii="Times New Roman" w:hAnsi="Times New Roman"/>
                <w:color w:val="000000"/>
                <w:sz w:val="18"/>
              </w:rPr>
              <w:t>4.1*</w:t>
            </w:r>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6474" w:type="dxa"/>
            <w:tcBorders/>
            <w:tcMar>
              <w:top w:w="0" w:type="dxa"/>
              <w:left w:w="0" w:type="dxa"/>
              <w:bottom w:w="0" w:type="dxa"/>
              <w:right w:w="0" w:type="dxa"/>
            </w:tcMar>
            <w:vAlign w:val="center"/>
          </w:tcPr>
          <w:p>
            <w:pPr>
              <w:pStyle w:val="TableContents"/>
              <w:bidi w:val="0"/>
              <w:spacing w:before="180" w:after="283"/>
              <w:jc w:val="left"/>
              <w:rPr/>
            </w:pPr>
            <w:hyperlink w:anchor="rrc-ex4_1.htm">
              <w:r>
                <w:rPr>
                  <w:rStyle w:val="InternetLink"/>
                  <w:rFonts w:ascii="Times New Roman" w:hAnsi="Times New Roman"/>
                  <w:color w:val="0000FF"/>
                  <w:sz w:val="18"/>
                  <w:u w:val="single"/>
                </w:rPr>
                <w:t>Description of Registrant's Securities</w:t>
              </w:r>
            </w:hyperlink>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592"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164"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761"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164"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774"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21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6"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4.2</w:t>
            </w:r>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6474" w:type="dxa"/>
            <w:tcBorders/>
            <w:tcMar>
              <w:top w:w="0" w:type="dxa"/>
              <w:left w:w="0" w:type="dxa"/>
              <w:bottom w:w="0" w:type="dxa"/>
              <w:right w:w="0" w:type="dxa"/>
            </w:tcMar>
            <w:vAlign w:val="center"/>
          </w:tcPr>
          <w:p>
            <w:pPr>
              <w:pStyle w:val="TableContents"/>
              <w:bidi w:val="0"/>
              <w:spacing w:before="180" w:after="283"/>
              <w:jc w:val="left"/>
              <w:rPr/>
            </w:pPr>
            <w:hyperlink r:id="rId10">
              <w:r>
                <w:rPr>
                  <w:rStyle w:val="InternetLink"/>
                  <w:rFonts w:ascii="Times New Roman" w:hAnsi="Times New Roman"/>
                  <w:color w:val="0000FF"/>
                  <w:sz w:val="18"/>
                  <w:u w:val="single"/>
                </w:rPr>
                <w:t>Second Supplemental Indenture, by and among Range Resources Corporation, the guarantors named therein and The Bank of New York Mellon Trust Company, N.A., dated as of August 23, 2016</w:t>
              </w:r>
            </w:hyperlink>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592"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8-K</w:t>
            </w:r>
          </w:p>
        </w:tc>
        <w:tc>
          <w:tcPr>
            <w:tcW w:w="164"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761"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4.2</w:t>
            </w:r>
          </w:p>
        </w:tc>
        <w:tc>
          <w:tcPr>
            <w:tcW w:w="164"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774"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8/25/2016</w:t>
            </w:r>
          </w:p>
        </w:tc>
        <w:tc>
          <w:tcPr>
            <w:tcW w:w="21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6"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4.3</w:t>
            </w:r>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6474" w:type="dxa"/>
            <w:tcBorders/>
            <w:tcMar>
              <w:top w:w="0" w:type="dxa"/>
              <w:left w:w="0" w:type="dxa"/>
              <w:bottom w:w="0" w:type="dxa"/>
              <w:right w:w="0" w:type="dxa"/>
            </w:tcMar>
            <w:vAlign w:val="center"/>
          </w:tcPr>
          <w:p>
            <w:pPr>
              <w:pStyle w:val="TableContents"/>
              <w:bidi w:val="0"/>
              <w:spacing w:before="180" w:after="283"/>
              <w:jc w:val="left"/>
              <w:rPr/>
            </w:pPr>
            <w:hyperlink r:id="rId11">
              <w:r>
                <w:rPr>
                  <w:rStyle w:val="InternetLink"/>
                  <w:rFonts w:ascii="Times New Roman" w:hAnsi="Times New Roman"/>
                  <w:color w:val="0000FF"/>
                  <w:sz w:val="18"/>
                  <w:u w:val="single"/>
                </w:rPr>
                <w:t>First Supplemental Indenture, by and among Range Resources Corporation, the guarantors named therein and U.S. Bank National Association, dated as of August 23, 2016</w:t>
              </w:r>
            </w:hyperlink>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592"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8-K</w:t>
            </w:r>
          </w:p>
        </w:tc>
        <w:tc>
          <w:tcPr>
            <w:tcW w:w="164"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761"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4.3</w:t>
            </w:r>
          </w:p>
        </w:tc>
        <w:tc>
          <w:tcPr>
            <w:tcW w:w="164"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774"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8/25/2016</w:t>
            </w:r>
          </w:p>
        </w:tc>
        <w:tc>
          <w:tcPr>
            <w:tcW w:w="21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6" w:type="dxa"/>
            <w:tcBorders/>
            <w:tcMar>
              <w:top w:w="0" w:type="dxa"/>
              <w:left w:w="0" w:type="dxa"/>
              <w:bottom w:w="0" w:type="dxa"/>
              <w:right w:w="0" w:type="dxa"/>
            </w:tcMar>
            <w:vAlign w:val="center"/>
          </w:tcPr>
          <w:p>
            <w:pPr>
              <w:pStyle w:val="TableContents"/>
              <w:bidi w:val="0"/>
              <w:spacing w:before="180" w:after="283"/>
              <w:jc w:val="center"/>
              <w:rPr>
                <w:color w:val="000000"/>
              </w:rPr>
            </w:pPr>
            <w:r>
              <w:rPr>
                <w:color w:val="000000"/>
              </w:rPr>
              <w:t> </w:t>
            </w:r>
            <w:r>
              <w:rPr>
                <w:rFonts w:ascii="Times New Roman" w:hAnsi="Times New Roman"/>
                <w:color w:val="000000"/>
                <w:sz w:val="18"/>
              </w:rPr>
              <w:t>4.4</w:t>
            </w:r>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6474" w:type="dxa"/>
            <w:tcBorders/>
            <w:tcMar>
              <w:top w:w="0" w:type="dxa"/>
              <w:left w:w="0" w:type="dxa"/>
              <w:bottom w:w="0" w:type="dxa"/>
              <w:right w:w="0" w:type="dxa"/>
            </w:tcMar>
            <w:vAlign w:val="center"/>
          </w:tcPr>
          <w:p>
            <w:pPr>
              <w:pStyle w:val="TableContents"/>
              <w:bidi w:val="0"/>
              <w:spacing w:before="180" w:after="283"/>
              <w:jc w:val="left"/>
              <w:rPr/>
            </w:pPr>
            <w:hyperlink r:id="rId12">
              <w:r>
                <w:rPr>
                  <w:rStyle w:val="InternetLink"/>
                  <w:rFonts w:ascii="Times New Roman" w:hAnsi="Times New Roman"/>
                  <w:color w:val="0000FF"/>
                  <w:sz w:val="18"/>
                  <w:u w:val="single"/>
                </w:rPr>
                <w:t>Form of 8.25% Senior Notes due 2029</w:t>
              </w:r>
            </w:hyperlink>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592"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8-K</w:t>
            </w:r>
          </w:p>
        </w:tc>
        <w:tc>
          <w:tcPr>
            <w:tcW w:w="164"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761"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4.1</w:t>
            </w:r>
          </w:p>
        </w:tc>
        <w:tc>
          <w:tcPr>
            <w:tcW w:w="164"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774"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1/8/2021</w:t>
            </w:r>
          </w:p>
        </w:tc>
        <w:tc>
          <w:tcPr>
            <w:tcW w:w="21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6" w:type="dxa"/>
            <w:tcBorders/>
            <w:tcMar>
              <w:top w:w="0" w:type="dxa"/>
              <w:left w:w="0" w:type="dxa"/>
              <w:bottom w:w="0" w:type="dxa"/>
              <w:right w:w="0" w:type="dxa"/>
            </w:tcMar>
            <w:vAlign w:val="center"/>
          </w:tcPr>
          <w:p>
            <w:pPr>
              <w:pStyle w:val="TableContents"/>
              <w:bidi w:val="0"/>
              <w:spacing w:before="180" w:after="283"/>
              <w:jc w:val="center"/>
              <w:rPr>
                <w:color w:val="000000"/>
              </w:rPr>
            </w:pPr>
            <w:r>
              <w:rPr>
                <w:color w:val="000000"/>
              </w:rPr>
              <w:t> </w:t>
            </w:r>
            <w:r>
              <w:rPr>
                <w:rFonts w:ascii="Times New Roman" w:hAnsi="Times New Roman"/>
                <w:color w:val="000000"/>
                <w:sz w:val="18"/>
              </w:rPr>
              <w:t>4.5</w:t>
            </w:r>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6474" w:type="dxa"/>
            <w:tcBorders/>
            <w:tcMar>
              <w:top w:w="0" w:type="dxa"/>
              <w:left w:w="0" w:type="dxa"/>
              <w:bottom w:w="0" w:type="dxa"/>
              <w:right w:w="0" w:type="dxa"/>
            </w:tcMar>
            <w:vAlign w:val="center"/>
          </w:tcPr>
          <w:p>
            <w:pPr>
              <w:pStyle w:val="TableContents"/>
              <w:bidi w:val="0"/>
              <w:spacing w:before="180" w:after="283"/>
              <w:jc w:val="left"/>
              <w:rPr/>
            </w:pPr>
            <w:hyperlink r:id="rId13">
              <w:r>
                <w:rPr>
                  <w:rStyle w:val="InternetLink"/>
                  <w:rFonts w:ascii="Times New Roman" w:hAnsi="Times New Roman"/>
                  <w:color w:val="0000FF"/>
                  <w:sz w:val="18"/>
                  <w:u w:val="single"/>
                </w:rPr>
                <w:t>Indenture dated January 8, 2021 among Range Resources Corporation, as issuer, the Subsidiary Guarantors (as defined therein) as guarantors and U.S. Bank National Association, as trustee</w:t>
              </w:r>
            </w:hyperlink>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592"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8-K</w:t>
            </w:r>
          </w:p>
        </w:tc>
        <w:tc>
          <w:tcPr>
            <w:tcW w:w="164"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761"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4.1</w:t>
            </w:r>
          </w:p>
        </w:tc>
        <w:tc>
          <w:tcPr>
            <w:tcW w:w="164"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774"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1/8/2021</w:t>
            </w:r>
          </w:p>
        </w:tc>
        <w:tc>
          <w:tcPr>
            <w:tcW w:w="21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6"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4.6</w:t>
            </w:r>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6474" w:type="dxa"/>
            <w:tcBorders/>
            <w:tcMar>
              <w:top w:w="0" w:type="dxa"/>
              <w:left w:w="0" w:type="dxa"/>
              <w:bottom w:w="0" w:type="dxa"/>
              <w:right w:w="0" w:type="dxa"/>
            </w:tcMar>
            <w:vAlign w:val="center"/>
          </w:tcPr>
          <w:p>
            <w:pPr>
              <w:pStyle w:val="TableContents"/>
              <w:bidi w:val="0"/>
              <w:spacing w:before="180" w:after="283"/>
              <w:jc w:val="left"/>
              <w:rPr/>
            </w:pPr>
            <w:hyperlink r:id="rId14">
              <w:r>
                <w:rPr>
                  <w:rStyle w:val="InternetLink"/>
                  <w:rFonts w:ascii="Times New Roman" w:hAnsi="Times New Roman"/>
                  <w:color w:val="0000FF"/>
                  <w:sz w:val="18"/>
                  <w:u w:val="single"/>
                </w:rPr>
                <w:t>Form of 4.75% Senior Notes due 2030</w:t>
              </w:r>
            </w:hyperlink>
            <w:r>
              <w:rPr>
                <w:rFonts w:ascii="Times New Roman" w:hAnsi="Times New Roman"/>
                <w:color w:val="000000"/>
                <w:sz w:val="18"/>
              </w:rPr>
              <w:t xml:space="preserve"> </w:t>
            </w:r>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592"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8-K</w:t>
            </w:r>
          </w:p>
        </w:tc>
        <w:tc>
          <w:tcPr>
            <w:tcW w:w="164"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761"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4.1</w:t>
            </w:r>
          </w:p>
        </w:tc>
        <w:tc>
          <w:tcPr>
            <w:tcW w:w="164"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774"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2/1/2022</w:t>
            </w:r>
          </w:p>
        </w:tc>
        <w:tc>
          <w:tcPr>
            <w:tcW w:w="21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6"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4.7</w:t>
            </w:r>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6474" w:type="dxa"/>
            <w:tcBorders/>
            <w:tcMar>
              <w:top w:w="0" w:type="dxa"/>
              <w:left w:w="0" w:type="dxa"/>
              <w:bottom w:w="0" w:type="dxa"/>
              <w:right w:w="0" w:type="dxa"/>
            </w:tcMar>
            <w:vAlign w:val="center"/>
          </w:tcPr>
          <w:p>
            <w:pPr>
              <w:pStyle w:val="TableContents"/>
              <w:bidi w:val="0"/>
              <w:spacing w:before="180" w:after="283"/>
              <w:jc w:val="left"/>
              <w:rPr/>
            </w:pPr>
            <w:hyperlink r:id="rId15">
              <w:r>
                <w:rPr>
                  <w:rStyle w:val="InternetLink"/>
                  <w:rFonts w:ascii="Times New Roman" w:hAnsi="Times New Roman"/>
                  <w:color w:val="0000FF"/>
                  <w:sz w:val="18"/>
                  <w:u w:val="single"/>
                </w:rPr>
                <w:t>Indenture dated February 1, 2022, among Range Resources Corporation, as issuer, the Subsidiary Guarantors (as defined therein) as guarantors and U.S. Bank Trust Company National Association, as trustee</w:t>
              </w:r>
            </w:hyperlink>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592"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8-K</w:t>
            </w:r>
          </w:p>
        </w:tc>
        <w:tc>
          <w:tcPr>
            <w:tcW w:w="164"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761"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4.1</w:t>
            </w:r>
          </w:p>
        </w:tc>
        <w:tc>
          <w:tcPr>
            <w:tcW w:w="164"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774"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2/1/2022</w:t>
            </w:r>
          </w:p>
        </w:tc>
        <w:tc>
          <w:tcPr>
            <w:tcW w:w="21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6"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b/>
                <w:color w:val="000000"/>
                <w:sz w:val="18"/>
              </w:rPr>
            </w:pPr>
            <w:r>
              <w:rPr>
                <w:rFonts w:ascii="Times New Roman" w:hAnsi="Times New Roman"/>
                <w:b/>
                <w:color w:val="000000"/>
                <w:sz w:val="18"/>
              </w:rPr>
              <w:t>10</w:t>
            </w:r>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6474" w:type="dxa"/>
            <w:tcBorders/>
            <w:tcMar>
              <w:top w:w="0" w:type="dxa"/>
              <w:left w:w="0" w:type="dxa"/>
              <w:bottom w:w="0" w:type="dxa"/>
              <w:right w:w="0" w:type="dxa"/>
            </w:tcMar>
            <w:vAlign w:val="center"/>
          </w:tcPr>
          <w:p>
            <w:pPr>
              <w:pStyle w:val="TableContents"/>
              <w:bidi w:val="0"/>
              <w:spacing w:before="180" w:after="283"/>
              <w:jc w:val="left"/>
              <w:rPr>
                <w:rFonts w:ascii="Times New Roman" w:hAnsi="Times New Roman"/>
                <w:b/>
                <w:color w:val="000000"/>
                <w:sz w:val="18"/>
              </w:rPr>
            </w:pPr>
            <w:r>
              <w:rPr>
                <w:rFonts w:ascii="Times New Roman" w:hAnsi="Times New Roman"/>
                <w:b/>
                <w:color w:val="000000"/>
                <w:sz w:val="18"/>
              </w:rPr>
              <w:t>Material Contracts</w:t>
            </w:r>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592"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164"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761"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164"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774"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21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6" w:type="dxa"/>
            <w:tcBorders/>
            <w:tcMar>
              <w:top w:w="0" w:type="dxa"/>
              <w:left w:w="0" w:type="dxa"/>
              <w:bottom w:w="0" w:type="dxa"/>
              <w:right w:w="0" w:type="dxa"/>
            </w:tcMar>
            <w:vAlign w:val="center"/>
          </w:tcPr>
          <w:p>
            <w:pPr>
              <w:pStyle w:val="TableContents"/>
              <w:bidi w:val="0"/>
              <w:spacing w:before="180" w:after="283"/>
              <w:jc w:val="center"/>
              <w:rPr>
                <w:color w:val="000000"/>
              </w:rPr>
            </w:pPr>
            <w:r>
              <w:rPr>
                <w:color w:val="000000"/>
              </w:rPr>
              <w:t> </w:t>
            </w:r>
            <w:r>
              <w:rPr>
                <w:rFonts w:ascii="Times New Roman" w:hAnsi="Times New Roman"/>
                <w:color w:val="000000"/>
                <w:sz w:val="18"/>
              </w:rPr>
              <w:t>10.01</w:t>
            </w:r>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6474" w:type="dxa"/>
            <w:tcBorders/>
            <w:tcMar>
              <w:top w:w="0" w:type="dxa"/>
              <w:left w:w="0" w:type="dxa"/>
              <w:bottom w:w="0" w:type="dxa"/>
              <w:right w:w="0" w:type="dxa"/>
            </w:tcMar>
            <w:vAlign w:val="center"/>
          </w:tcPr>
          <w:p>
            <w:pPr>
              <w:pStyle w:val="TableContents"/>
              <w:bidi w:val="0"/>
              <w:spacing w:before="180" w:after="283"/>
              <w:jc w:val="left"/>
              <w:rPr/>
            </w:pPr>
            <w:hyperlink r:id="rId16">
              <w:r>
                <w:rPr>
                  <w:rStyle w:val="InternetLink"/>
                  <w:rFonts w:ascii="Times New Roman" w:hAnsi="Times New Roman"/>
                  <w:color w:val="0000FF"/>
                  <w:sz w:val="18"/>
                  <w:u w:val="single"/>
                </w:rPr>
                <w:t>Eighth Amended and Restated Credit Agreement, dated October 2, 2025, among Range Resources Corporation, as borrower, JPMorgan Chase Bank, N.A., as Administrative Agent and Letter of Credit Issuer, and each Letter of Credit Issuer or Lender from time-to-time party thereto</w:t>
              </w:r>
            </w:hyperlink>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592"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8-K</w:t>
            </w:r>
          </w:p>
        </w:tc>
        <w:tc>
          <w:tcPr>
            <w:tcW w:w="164"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761"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10.1</w:t>
            </w:r>
          </w:p>
        </w:tc>
        <w:tc>
          <w:tcPr>
            <w:tcW w:w="164"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774"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10/2/2025</w:t>
            </w:r>
          </w:p>
        </w:tc>
        <w:tc>
          <w:tcPr>
            <w:tcW w:w="218" w:type="dxa"/>
            <w:tcBorders/>
            <w:tcMar>
              <w:top w:w="0" w:type="dxa"/>
              <w:left w:w="0" w:type="dxa"/>
              <w:bottom w:w="0" w:type="dxa"/>
              <w:right w:w="0" w:type="dxa"/>
            </w:tcMar>
            <w:vAlign w:val="center"/>
          </w:tcPr>
          <w:p>
            <w:pPr>
              <w:pStyle w:val="TableContents"/>
              <w:bidi w:val="0"/>
              <w:spacing w:before="180" w:after="283"/>
              <w:jc w:val="center"/>
              <w:rPr/>
            </w:pPr>
            <w:r>
              <w:rPr/>
              <w:t> </w:t>
            </w:r>
          </w:p>
        </w:tc>
      </w:tr>
      <w:tr>
        <w:trPr/>
        <w:tc>
          <w:tcPr>
            <w:tcW w:w="766"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10.02+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4" w:type="dxa"/>
            <w:tcBorders/>
            <w:tcMar>
              <w:top w:w="0" w:type="dxa"/>
              <w:left w:w="0" w:type="dxa"/>
              <w:bottom w:w="0" w:type="dxa"/>
              <w:right w:w="0" w:type="dxa"/>
            </w:tcMar>
            <w:vAlign w:val="center"/>
          </w:tcPr>
          <w:p>
            <w:pPr>
              <w:pStyle w:val="TableContents"/>
              <w:bidi w:val="0"/>
              <w:spacing w:before="180" w:after="283"/>
              <w:jc w:val="left"/>
              <w:rPr/>
            </w:pPr>
            <w:hyperlink r:id="rId17">
              <w:r>
                <w:rPr>
                  <w:rStyle w:val="InternetLink"/>
                  <w:rFonts w:ascii="Times New Roman" w:hAnsi="Times New Roman"/>
                  <w:color w:val="0000FF"/>
                  <w:sz w:val="18"/>
                  <w:u w:val="single"/>
                </w:rPr>
                <w:t>Amended and Restated Range Resources Corporation 2004 Deferred Compensation Plan for Directors and Select Employees</w:t>
              </w:r>
            </w:hyperlink>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592"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10-K</w:t>
            </w:r>
          </w:p>
        </w:tc>
        <w:tc>
          <w:tcPr>
            <w:tcW w:w="164"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761"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10.2</w:t>
            </w:r>
          </w:p>
        </w:tc>
        <w:tc>
          <w:tcPr>
            <w:tcW w:w="164"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774"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2/27/2024</w:t>
            </w:r>
          </w:p>
        </w:tc>
        <w:tc>
          <w:tcPr>
            <w:tcW w:w="218" w:type="dxa"/>
            <w:tcBorders/>
            <w:tcMar>
              <w:top w:w="0" w:type="dxa"/>
              <w:left w:w="0" w:type="dxa"/>
              <w:bottom w:w="0" w:type="dxa"/>
              <w:right w:w="0" w:type="dxa"/>
            </w:tcMar>
            <w:vAlign w:val="center"/>
          </w:tcPr>
          <w:p>
            <w:pPr>
              <w:pStyle w:val="TableContents"/>
              <w:bidi w:val="0"/>
              <w:spacing w:before="180" w:after="283"/>
              <w:jc w:val="center"/>
              <w:rPr/>
            </w:pPr>
            <w:r>
              <w:rPr/>
              <w:t> </w:t>
            </w:r>
          </w:p>
        </w:tc>
      </w:tr>
      <w:tr>
        <w:trPr/>
        <w:tc>
          <w:tcPr>
            <w:tcW w:w="766" w:type="dxa"/>
            <w:tcBorders/>
            <w:tcMar>
              <w:top w:w="0" w:type="dxa"/>
              <w:left w:w="0" w:type="dxa"/>
              <w:bottom w:w="0" w:type="dxa"/>
              <w:right w:w="0" w:type="dxa"/>
            </w:tcMar>
            <w:vAlign w:val="center"/>
          </w:tcPr>
          <w:p>
            <w:pPr>
              <w:pStyle w:val="TableContents"/>
              <w:bidi w:val="0"/>
              <w:spacing w:before="180" w:after="283"/>
              <w:jc w:val="center"/>
              <w:rPr>
                <w:color w:val="000000"/>
              </w:rPr>
            </w:pPr>
            <w:r>
              <w:rPr>
                <w:color w:val="000000"/>
              </w:rPr>
              <w:t> </w:t>
            </w:r>
            <w:r>
              <w:rPr>
                <w:rFonts w:ascii="Times New Roman" w:hAnsi="Times New Roman"/>
                <w:color w:val="000000"/>
                <w:sz w:val="18"/>
              </w:rPr>
              <w:t>10.03+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4" w:type="dxa"/>
            <w:tcBorders/>
            <w:tcMar>
              <w:top w:w="0" w:type="dxa"/>
              <w:left w:w="0" w:type="dxa"/>
              <w:bottom w:w="0" w:type="dxa"/>
              <w:right w:w="0" w:type="dxa"/>
            </w:tcMar>
            <w:vAlign w:val="center"/>
          </w:tcPr>
          <w:p>
            <w:pPr>
              <w:pStyle w:val="TableContents"/>
              <w:bidi w:val="0"/>
              <w:spacing w:before="180" w:after="283"/>
              <w:jc w:val="left"/>
              <w:rPr/>
            </w:pPr>
            <w:hyperlink r:id="rId18">
              <w:r>
                <w:rPr>
                  <w:rStyle w:val="InternetLink"/>
                  <w:rFonts w:ascii="Times New Roman" w:hAnsi="Times New Roman"/>
                  <w:color w:val="0000FF"/>
                  <w:sz w:val="18"/>
                  <w:u w:val="single"/>
                </w:rPr>
                <w:t>Range Resources Corporation Amended and Restated 2005 Equity-Based Compensation Plan</w:t>
              </w:r>
            </w:hyperlink>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592"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8-K</w:t>
            </w:r>
          </w:p>
        </w:tc>
        <w:tc>
          <w:tcPr>
            <w:tcW w:w="164"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761"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10.1</w:t>
            </w:r>
          </w:p>
        </w:tc>
        <w:tc>
          <w:tcPr>
            <w:tcW w:w="164"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774"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6/4/2009</w:t>
            </w:r>
          </w:p>
        </w:tc>
        <w:tc>
          <w:tcPr>
            <w:tcW w:w="218" w:type="dxa"/>
            <w:tcBorders/>
            <w:tcMar>
              <w:top w:w="0" w:type="dxa"/>
              <w:left w:w="0" w:type="dxa"/>
              <w:bottom w:w="0" w:type="dxa"/>
              <w:right w:w="0" w:type="dxa"/>
            </w:tcMar>
            <w:vAlign w:val="center"/>
          </w:tcPr>
          <w:p>
            <w:pPr>
              <w:pStyle w:val="TableContents"/>
              <w:bidi w:val="0"/>
              <w:spacing w:before="180" w:after="283"/>
              <w:jc w:val="center"/>
              <w:rPr/>
            </w:pPr>
            <w:r>
              <w:rPr/>
              <w:t> </w:t>
            </w:r>
          </w:p>
        </w:tc>
      </w:tr>
      <w:tr>
        <w:trPr/>
        <w:tc>
          <w:tcPr>
            <w:tcW w:w="766"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10.04+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4" w:type="dxa"/>
            <w:tcBorders/>
            <w:tcMar>
              <w:top w:w="0" w:type="dxa"/>
              <w:left w:w="0" w:type="dxa"/>
              <w:bottom w:w="0" w:type="dxa"/>
              <w:right w:w="0" w:type="dxa"/>
            </w:tcMar>
            <w:vAlign w:val="center"/>
          </w:tcPr>
          <w:p>
            <w:pPr>
              <w:pStyle w:val="TableContents"/>
              <w:bidi w:val="0"/>
              <w:spacing w:before="180" w:after="283"/>
              <w:jc w:val="left"/>
              <w:rPr/>
            </w:pPr>
            <w:hyperlink r:id="rId19">
              <w:r>
                <w:rPr>
                  <w:rStyle w:val="InternetLink"/>
                  <w:rFonts w:ascii="Times New Roman" w:hAnsi="Times New Roman"/>
                  <w:color w:val="0000FF"/>
                  <w:sz w:val="18"/>
                  <w:u w:val="single"/>
                </w:rPr>
                <w:t>First Amendment to the Range Resources Corporation Amended and Restated 2005 Equity-Based Compensation Plan</w:t>
              </w:r>
            </w:hyperlink>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592"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8-K</w:t>
            </w:r>
          </w:p>
        </w:tc>
        <w:tc>
          <w:tcPr>
            <w:tcW w:w="164"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761"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10.1</w:t>
            </w:r>
          </w:p>
        </w:tc>
        <w:tc>
          <w:tcPr>
            <w:tcW w:w="164"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774"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5/20/2010</w:t>
            </w:r>
          </w:p>
        </w:tc>
        <w:tc>
          <w:tcPr>
            <w:tcW w:w="218"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9"/>
        <w:gridCol w:w="146"/>
        <w:gridCol w:w="4324"/>
        <w:gridCol w:w="146"/>
        <w:gridCol w:w="526"/>
        <w:gridCol w:w="146"/>
        <w:gridCol w:w="676"/>
        <w:gridCol w:w="146"/>
        <w:gridCol w:w="1615"/>
        <w:gridCol w:w="1661"/>
      </w:tblGrid>
      <w:tr>
        <w:trPr/>
        <w:tc>
          <w:tcPr>
            <w:tcW w:w="81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32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615" w:type="dxa"/>
            <w:tcBorders/>
            <w:shd w:fill="FFFFFF" w:val="clear"/>
            <w:vAlign w:val="center"/>
          </w:tcPr>
          <w:p>
            <w:pPr>
              <w:pStyle w:val="TableContents"/>
              <w:bidi w:val="0"/>
              <w:spacing w:before="0" w:after="283"/>
              <w:jc w:val="left"/>
              <w:rPr>
                <w:sz w:val="4"/>
                <w:szCs w:val="4"/>
              </w:rPr>
            </w:pPr>
            <w:r>
              <w:rPr>
                <w:sz w:val="4"/>
                <w:szCs w:val="4"/>
              </w:rPr>
            </w:r>
          </w:p>
        </w:tc>
        <w:tc>
          <w:tcPr>
            <w:tcW w:w="1661" w:type="dxa"/>
            <w:tcBorders/>
            <w:shd w:fill="FFFFFF" w:val="clear"/>
            <w:vAlign w:val="center"/>
          </w:tcPr>
          <w:p>
            <w:pPr>
              <w:pStyle w:val="TableContents"/>
              <w:bidi w:val="0"/>
              <w:spacing w:before="0" w:after="283"/>
              <w:jc w:val="left"/>
              <w:rPr>
                <w:sz w:val="4"/>
                <w:szCs w:val="4"/>
              </w:rPr>
            </w:pPr>
            <w:r>
              <w:rPr>
                <w:sz w:val="4"/>
                <w:szCs w:val="4"/>
              </w:rPr>
            </w:r>
          </w:p>
        </w:tc>
      </w:tr>
      <w:tr>
        <w:trPr/>
        <w:tc>
          <w:tcPr>
            <w:tcW w:w="81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3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770" w:type="dxa"/>
            <w:gridSpan w:val="6"/>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Incorporated by Reference (File No. 001-12209)</w:t>
            </w:r>
            <w:r>
              <w:rPr>
                <w:rFonts w:ascii="Times New Roman" w:hAnsi="Times New Roman"/>
                <w:color w:val="000000"/>
                <w:sz w:val="18"/>
              </w:rPr>
              <w:t xml:space="preserve"> </w:t>
            </w:r>
          </w:p>
        </w:tc>
      </w:tr>
      <w:tr>
        <w:trPr/>
        <w:tc>
          <w:tcPr>
            <w:tcW w:w="819"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Exhibit</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24"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Exhibit Description</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52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Form</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67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Exhibit</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615"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Filing Date</w:t>
            </w:r>
          </w:p>
        </w:tc>
        <w:tc>
          <w:tcPr>
            <w:tcW w:w="166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819" w:type="dxa"/>
            <w:tcBorders/>
            <w:tcMar>
              <w:top w:w="0" w:type="dxa"/>
              <w:left w:w="0" w:type="dxa"/>
              <w:bottom w:w="0" w:type="dxa"/>
              <w:right w:w="0" w:type="dxa"/>
            </w:tcMar>
            <w:vAlign w:val="center"/>
          </w:tcPr>
          <w:p>
            <w:pPr>
              <w:pStyle w:val="TableContents"/>
              <w:bidi w:val="0"/>
              <w:spacing w:before="180" w:after="283"/>
              <w:jc w:val="center"/>
              <w:rPr>
                <w:color w:val="000000"/>
              </w:rPr>
            </w:pPr>
            <w:r>
              <w:rPr>
                <w:color w:val="000000"/>
              </w:rPr>
              <w:t> </w:t>
            </w:r>
            <w:r>
              <w:rPr>
                <w:rFonts w:ascii="Times New Roman" w:hAnsi="Times New Roman"/>
                <w:color w:val="000000"/>
                <w:sz w:val="18"/>
              </w:rPr>
              <w:t>10.05+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4" w:type="dxa"/>
            <w:tcBorders/>
            <w:tcMar>
              <w:top w:w="0" w:type="dxa"/>
              <w:left w:w="0" w:type="dxa"/>
              <w:bottom w:w="0" w:type="dxa"/>
              <w:right w:w="0" w:type="dxa"/>
            </w:tcMar>
            <w:vAlign w:val="center"/>
          </w:tcPr>
          <w:p>
            <w:pPr>
              <w:pStyle w:val="TableContents"/>
              <w:bidi w:val="0"/>
              <w:spacing w:before="180" w:after="283"/>
              <w:jc w:val="left"/>
              <w:rPr/>
            </w:pPr>
            <w:hyperlink r:id="rId20">
              <w:r>
                <w:rPr>
                  <w:rStyle w:val="InternetLink"/>
                  <w:rFonts w:ascii="Times New Roman" w:hAnsi="Times New Roman"/>
                  <w:color w:val="0000FF"/>
                  <w:sz w:val="18"/>
                  <w:u w:val="single"/>
                </w:rPr>
                <w:t>Second Amendment to the Range Resources Corporation Amended and Restated 2005 Equity-Based Compensation Plan</w:t>
              </w:r>
            </w:hyperlink>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526"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8-K</w:t>
            </w:r>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676"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10.1</w:t>
            </w:r>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1615"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5/19/2011</w:t>
            </w:r>
          </w:p>
        </w:tc>
        <w:tc>
          <w:tcPr>
            <w:tcW w:w="16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9"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10.06+</w:t>
            </w:r>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4324" w:type="dxa"/>
            <w:tcBorders/>
            <w:tcMar>
              <w:top w:w="0" w:type="dxa"/>
              <w:left w:w="0" w:type="dxa"/>
              <w:bottom w:w="0" w:type="dxa"/>
              <w:right w:w="0" w:type="dxa"/>
            </w:tcMar>
            <w:vAlign w:val="center"/>
          </w:tcPr>
          <w:p>
            <w:pPr>
              <w:pStyle w:val="TableContents"/>
              <w:bidi w:val="0"/>
              <w:spacing w:before="180" w:after="283"/>
              <w:jc w:val="left"/>
              <w:rPr/>
            </w:pPr>
            <w:hyperlink r:id="rId21">
              <w:r>
                <w:rPr>
                  <w:rStyle w:val="InternetLink"/>
                  <w:rFonts w:ascii="Times New Roman" w:hAnsi="Times New Roman"/>
                  <w:color w:val="0000FF"/>
                  <w:sz w:val="18"/>
                  <w:u w:val="single"/>
                </w:rPr>
                <w:t>Range Resources Corporation Amended and Restated 2019 Equity-Based Compensation Plan</w:t>
              </w:r>
            </w:hyperlink>
            <w:hyperlink r:id="rId22">
              <w:r>
                <w:rPr>
                  <w:rStyle w:val="InternetLink"/>
                  <w:rFonts w:ascii="Times New Roman" w:hAnsi="Times New Roman"/>
                  <w:color w:val="0000FF"/>
                  <w:sz w:val="18"/>
                </w:rPr>
                <w:t xml:space="preserve"> </w:t>
              </w:r>
            </w:hyperlink>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526"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10-K</w:t>
            </w:r>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676"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10.06</w:t>
            </w:r>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1615"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2/25/25</w:t>
            </w:r>
          </w:p>
        </w:tc>
        <w:tc>
          <w:tcPr>
            <w:tcW w:w="16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9"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10.07+</w:t>
            </w:r>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4324" w:type="dxa"/>
            <w:tcBorders/>
            <w:tcMar>
              <w:top w:w="0" w:type="dxa"/>
              <w:left w:w="0" w:type="dxa"/>
              <w:bottom w:w="0" w:type="dxa"/>
              <w:right w:w="0" w:type="dxa"/>
            </w:tcMar>
            <w:vAlign w:val="center"/>
          </w:tcPr>
          <w:p>
            <w:pPr>
              <w:pStyle w:val="TableContents"/>
              <w:bidi w:val="0"/>
              <w:spacing w:before="180" w:after="283"/>
              <w:jc w:val="left"/>
              <w:rPr/>
            </w:pPr>
            <w:hyperlink r:id="rId23">
              <w:r>
                <w:rPr>
                  <w:rStyle w:val="InternetLink"/>
                  <w:rFonts w:ascii="Times New Roman" w:hAnsi="Times New Roman"/>
                  <w:color w:val="0000FF"/>
                  <w:sz w:val="18"/>
                  <w:u w:val="single"/>
                </w:rPr>
                <w:t>Form of Performance Share Award Agreement (TSR - Officer)</w:t>
              </w:r>
            </w:hyperlink>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526"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10-Q</w:t>
            </w:r>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676"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10.1</w:t>
            </w:r>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1615"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4/22/25</w:t>
            </w:r>
          </w:p>
        </w:tc>
        <w:tc>
          <w:tcPr>
            <w:tcW w:w="16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9"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10.08+</w:t>
            </w:r>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4324" w:type="dxa"/>
            <w:tcBorders/>
            <w:tcMar>
              <w:top w:w="0" w:type="dxa"/>
              <w:left w:w="0" w:type="dxa"/>
              <w:bottom w:w="0" w:type="dxa"/>
              <w:right w:w="0" w:type="dxa"/>
            </w:tcMar>
            <w:vAlign w:val="center"/>
          </w:tcPr>
          <w:p>
            <w:pPr>
              <w:pStyle w:val="TableContents"/>
              <w:bidi w:val="0"/>
              <w:spacing w:before="180" w:after="283"/>
              <w:jc w:val="left"/>
              <w:rPr/>
            </w:pPr>
            <w:hyperlink r:id="rId24">
              <w:r>
                <w:rPr>
                  <w:rStyle w:val="InternetLink"/>
                  <w:rFonts w:ascii="Times New Roman" w:hAnsi="Times New Roman"/>
                  <w:color w:val="0000FF"/>
                  <w:sz w:val="18"/>
                  <w:u w:val="single"/>
                </w:rPr>
                <w:t>Form of Restricted Stock Unit Award Agreement (Officer)</w:t>
              </w:r>
            </w:hyperlink>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526"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10-Q</w:t>
            </w:r>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676"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10.2</w:t>
            </w:r>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1615"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4/22/25</w:t>
            </w:r>
          </w:p>
        </w:tc>
        <w:tc>
          <w:tcPr>
            <w:tcW w:w="16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9"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10.09+</w:t>
            </w:r>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4324" w:type="dxa"/>
            <w:tcBorders/>
            <w:tcMar>
              <w:top w:w="0" w:type="dxa"/>
              <w:left w:w="0" w:type="dxa"/>
              <w:bottom w:w="0" w:type="dxa"/>
              <w:right w:w="0" w:type="dxa"/>
            </w:tcMar>
            <w:vAlign w:val="center"/>
          </w:tcPr>
          <w:p>
            <w:pPr>
              <w:pStyle w:val="TableContents"/>
              <w:bidi w:val="0"/>
              <w:spacing w:before="180" w:after="283"/>
              <w:jc w:val="left"/>
              <w:rPr/>
            </w:pPr>
            <w:hyperlink r:id="rId25">
              <w:r>
                <w:rPr>
                  <w:rStyle w:val="InternetLink"/>
                  <w:rFonts w:ascii="Times New Roman" w:hAnsi="Times New Roman"/>
                  <w:color w:val="0000FF"/>
                  <w:sz w:val="18"/>
                  <w:u w:val="single"/>
                </w:rPr>
                <w:t>Form of Restricted Stock Award Agreement (Board of Directors)</w:t>
              </w:r>
            </w:hyperlink>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526"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10-Q</w:t>
            </w:r>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676"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10.1</w:t>
            </w:r>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1615"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7/22/25</w:t>
            </w:r>
          </w:p>
        </w:tc>
        <w:tc>
          <w:tcPr>
            <w:tcW w:w="16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9" w:type="dxa"/>
            <w:tcBorders/>
            <w:tcMar>
              <w:top w:w="0" w:type="dxa"/>
              <w:left w:w="0" w:type="dxa"/>
              <w:bottom w:w="0" w:type="dxa"/>
              <w:right w:w="0" w:type="dxa"/>
            </w:tcMar>
            <w:vAlign w:val="center"/>
          </w:tcPr>
          <w:p>
            <w:pPr>
              <w:pStyle w:val="TableContents"/>
              <w:bidi w:val="0"/>
              <w:spacing w:before="180" w:after="283"/>
              <w:jc w:val="center"/>
              <w:rPr>
                <w:color w:val="000000"/>
              </w:rPr>
            </w:pPr>
            <w:r>
              <w:rPr>
                <w:color w:val="000000"/>
              </w:rPr>
              <w:t> </w:t>
            </w:r>
            <w:r>
              <w:rPr>
                <w:rFonts w:ascii="Times New Roman" w:hAnsi="Times New Roman"/>
                <w:color w:val="000000"/>
                <w:sz w:val="18"/>
              </w:rPr>
              <w:t>10.10+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4" w:type="dxa"/>
            <w:tcBorders/>
            <w:tcMar>
              <w:top w:w="0" w:type="dxa"/>
              <w:left w:w="0" w:type="dxa"/>
              <w:bottom w:w="0" w:type="dxa"/>
              <w:right w:w="0" w:type="dxa"/>
            </w:tcMar>
            <w:vAlign w:val="center"/>
          </w:tcPr>
          <w:p>
            <w:pPr>
              <w:pStyle w:val="TableContents"/>
              <w:bidi w:val="0"/>
              <w:spacing w:before="180" w:after="283"/>
              <w:jc w:val="left"/>
              <w:rPr/>
            </w:pPr>
            <w:hyperlink r:id="rId26">
              <w:r>
                <w:rPr>
                  <w:rStyle w:val="InternetLink"/>
                  <w:rFonts w:ascii="Times New Roman" w:hAnsi="Times New Roman"/>
                  <w:color w:val="0000FF"/>
                  <w:sz w:val="18"/>
                  <w:u w:val="single"/>
                </w:rPr>
                <w:t>Amended and Restated Range Resources Corporation Executive Change in Control Severance Benefit Plan</w:t>
              </w:r>
            </w:hyperlink>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526"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10-K</w:t>
            </w:r>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676"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10.08</w:t>
            </w:r>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1615"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2/25/25</w:t>
            </w:r>
          </w:p>
        </w:tc>
        <w:tc>
          <w:tcPr>
            <w:tcW w:w="16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9"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10.11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4" w:type="dxa"/>
            <w:tcBorders/>
            <w:tcMar>
              <w:top w:w="0" w:type="dxa"/>
              <w:left w:w="0" w:type="dxa"/>
              <w:bottom w:w="0" w:type="dxa"/>
              <w:right w:w="0" w:type="dxa"/>
            </w:tcMar>
            <w:vAlign w:val="center"/>
          </w:tcPr>
          <w:p>
            <w:pPr>
              <w:pStyle w:val="TableContents"/>
              <w:bidi w:val="0"/>
              <w:spacing w:before="180" w:after="283"/>
              <w:jc w:val="left"/>
              <w:rPr/>
            </w:pPr>
            <w:hyperlink r:id="rId27">
              <w:r>
                <w:rPr>
                  <w:rStyle w:val="InternetLink"/>
                  <w:rFonts w:ascii="Times New Roman" w:hAnsi="Times New Roman"/>
                  <w:color w:val="0000FF"/>
                  <w:sz w:val="18"/>
                  <w:u w:val="single"/>
                </w:rPr>
                <w:t>Form of Indemnification Agreement</w:t>
              </w:r>
            </w:hyperlink>
            <w:r>
              <w:rPr>
                <w:rFonts w:ascii="Times New Roman" w:hAnsi="Times New Roman"/>
                <w:color w:val="000000"/>
                <w:sz w:val="18"/>
              </w:rPr>
              <w:t xml:space="preserve"> </w:t>
            </w:r>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526"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8-K</w:t>
            </w:r>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676"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10.6</w:t>
            </w:r>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1615"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2/17/2009</w:t>
            </w:r>
          </w:p>
        </w:tc>
        <w:tc>
          <w:tcPr>
            <w:tcW w:w="16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9"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19.1</w:t>
            </w:r>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4324" w:type="dxa"/>
            <w:tcBorders/>
            <w:tcMar>
              <w:top w:w="0" w:type="dxa"/>
              <w:left w:w="0" w:type="dxa"/>
              <w:bottom w:w="0" w:type="dxa"/>
              <w:right w:w="0" w:type="dxa"/>
            </w:tcMar>
            <w:vAlign w:val="center"/>
          </w:tcPr>
          <w:p>
            <w:pPr>
              <w:pStyle w:val="TableContents"/>
              <w:bidi w:val="0"/>
              <w:spacing w:before="180" w:after="283"/>
              <w:jc w:val="left"/>
              <w:rPr/>
            </w:pPr>
            <w:hyperlink r:id="rId28">
              <w:r>
                <w:rPr>
                  <w:rStyle w:val="InternetLink"/>
                  <w:rFonts w:ascii="Times New Roman" w:hAnsi="Times New Roman"/>
                  <w:color w:val="0000FF"/>
                  <w:sz w:val="18"/>
                  <w:u w:val="single"/>
                </w:rPr>
                <w:t>Insider Trading Policy</w:t>
              </w:r>
            </w:hyperlink>
            <w:hyperlink r:id="rId29">
              <w:r>
                <w:rPr>
                  <w:rStyle w:val="InternetLink"/>
                  <w:rFonts w:ascii="Times New Roman" w:hAnsi="Times New Roman"/>
                  <w:color w:val="0000FF"/>
                  <w:sz w:val="18"/>
                </w:rPr>
                <w:t xml:space="preserve"> </w:t>
              </w:r>
            </w:hyperlink>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526"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10-K</w:t>
            </w:r>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676"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19.1</w:t>
            </w:r>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1615"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2/21/2024</w:t>
            </w:r>
          </w:p>
        </w:tc>
        <w:tc>
          <w:tcPr>
            <w:tcW w:w="16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9"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4" w:type="dxa"/>
            <w:tcBorders/>
            <w:tcMar>
              <w:top w:w="0" w:type="dxa"/>
              <w:left w:w="0" w:type="dxa"/>
              <w:bottom w:w="0" w:type="dxa"/>
              <w:right w:w="0" w:type="dxa"/>
            </w:tcMar>
            <w:vAlign w:val="center"/>
          </w:tcPr>
          <w:p>
            <w:pPr>
              <w:pStyle w:val="TableContents"/>
              <w:bidi w:val="0"/>
              <w:spacing w:before="180" w:after="283"/>
              <w:jc w:val="left"/>
              <w:rPr/>
            </w:pPr>
            <w:hyperlink w:anchor="rrc-ex21.htm">
              <w:r>
                <w:rPr>
                  <w:rStyle w:val="InternetLink"/>
                  <w:rFonts w:ascii="Times New Roman" w:hAnsi="Times New Roman"/>
                  <w:color w:val="0000FF"/>
                  <w:sz w:val="18"/>
                  <w:u w:val="single"/>
                </w:rPr>
                <w:t>Subsidiaries of Registrant</w:t>
              </w:r>
            </w:hyperlink>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52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67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1615"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16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9"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22*</w:t>
            </w:r>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4324" w:type="dxa"/>
            <w:tcBorders/>
            <w:tcMar>
              <w:top w:w="0" w:type="dxa"/>
              <w:left w:w="0" w:type="dxa"/>
              <w:bottom w:w="0" w:type="dxa"/>
              <w:right w:w="0" w:type="dxa"/>
            </w:tcMar>
            <w:vAlign w:val="center"/>
          </w:tcPr>
          <w:p>
            <w:pPr>
              <w:pStyle w:val="TableContents"/>
              <w:bidi w:val="0"/>
              <w:spacing w:before="180" w:after="283"/>
              <w:jc w:val="left"/>
              <w:rPr/>
            </w:pPr>
            <w:hyperlink w:anchor="rrc-ex22.htm">
              <w:r>
                <w:rPr>
                  <w:rStyle w:val="InternetLink"/>
                  <w:rFonts w:ascii="Times New Roman" w:hAnsi="Times New Roman"/>
                  <w:color w:val="0000FF"/>
                  <w:sz w:val="18"/>
                  <w:u w:val="single"/>
                </w:rPr>
                <w:t>Subsidiary Guarantors</w:t>
              </w:r>
            </w:hyperlink>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52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67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1615"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16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9" w:type="dxa"/>
            <w:tcBorders/>
            <w:tcMar>
              <w:top w:w="0" w:type="dxa"/>
              <w:left w:w="0" w:type="dxa"/>
              <w:bottom w:w="0" w:type="dxa"/>
              <w:right w:w="0" w:type="dxa"/>
            </w:tcMar>
            <w:vAlign w:val="center"/>
          </w:tcPr>
          <w:p>
            <w:pPr>
              <w:pStyle w:val="TableContents"/>
              <w:bidi w:val="0"/>
              <w:spacing w:before="180" w:after="283"/>
              <w:jc w:val="center"/>
              <w:rPr>
                <w:color w:val="000000"/>
              </w:rPr>
            </w:pPr>
            <w:r>
              <w:rPr>
                <w:color w:val="000000"/>
              </w:rPr>
              <w:t> </w:t>
            </w:r>
            <w:r>
              <w:rPr>
                <w:rFonts w:ascii="Times New Roman" w:hAnsi="Times New Roman"/>
                <w:color w:val="000000"/>
                <w:sz w:val="18"/>
              </w:rPr>
              <w:t>23.1*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4" w:type="dxa"/>
            <w:tcBorders/>
            <w:tcMar>
              <w:top w:w="0" w:type="dxa"/>
              <w:left w:w="0" w:type="dxa"/>
              <w:bottom w:w="0" w:type="dxa"/>
              <w:right w:w="0" w:type="dxa"/>
            </w:tcMar>
            <w:vAlign w:val="center"/>
          </w:tcPr>
          <w:p>
            <w:pPr>
              <w:pStyle w:val="TableContents"/>
              <w:bidi w:val="0"/>
              <w:spacing w:before="180" w:after="283"/>
              <w:jc w:val="left"/>
              <w:rPr/>
            </w:pPr>
            <w:hyperlink w:anchor="rrc-ex23_1.htm">
              <w:r>
                <w:rPr>
                  <w:rStyle w:val="InternetLink"/>
                  <w:rFonts w:ascii="Times New Roman" w:hAnsi="Times New Roman"/>
                  <w:color w:val="0000FF"/>
                  <w:sz w:val="18"/>
                  <w:u w:val="single"/>
                </w:rPr>
                <w:t>Consent of Independent Registered Public Accounting Firm</w:t>
              </w:r>
            </w:hyperlink>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52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67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1615"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16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9" w:type="dxa"/>
            <w:tcBorders/>
            <w:tcMar>
              <w:top w:w="0" w:type="dxa"/>
              <w:left w:w="0" w:type="dxa"/>
              <w:bottom w:w="0" w:type="dxa"/>
              <w:right w:w="0" w:type="dxa"/>
            </w:tcMar>
            <w:vAlign w:val="center"/>
          </w:tcPr>
          <w:p>
            <w:pPr>
              <w:pStyle w:val="TableContents"/>
              <w:bidi w:val="0"/>
              <w:spacing w:before="180" w:after="283"/>
              <w:jc w:val="center"/>
              <w:rPr>
                <w:color w:val="000000"/>
              </w:rPr>
            </w:pPr>
            <w:r>
              <w:rPr>
                <w:color w:val="000000"/>
              </w:rPr>
              <w:t> </w:t>
            </w:r>
            <w:r>
              <w:rPr>
                <w:rFonts w:ascii="Times New Roman" w:hAnsi="Times New Roman"/>
                <w:color w:val="000000"/>
                <w:sz w:val="18"/>
              </w:rPr>
              <w:t>23.2*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4" w:type="dxa"/>
            <w:tcBorders/>
            <w:tcMar>
              <w:top w:w="0" w:type="dxa"/>
              <w:left w:w="0" w:type="dxa"/>
              <w:bottom w:w="0" w:type="dxa"/>
              <w:right w:w="0" w:type="dxa"/>
            </w:tcMar>
            <w:vAlign w:val="center"/>
          </w:tcPr>
          <w:p>
            <w:pPr>
              <w:pStyle w:val="TableContents"/>
              <w:bidi w:val="0"/>
              <w:spacing w:before="180" w:after="283"/>
              <w:jc w:val="left"/>
              <w:rPr/>
            </w:pPr>
            <w:hyperlink w:anchor="rrc-ex23_2.htm">
              <w:r>
                <w:rPr>
                  <w:rStyle w:val="InternetLink"/>
                  <w:rFonts w:ascii="Times New Roman" w:hAnsi="Times New Roman"/>
                  <w:color w:val="0000FF"/>
                  <w:sz w:val="18"/>
                  <w:u w:val="single"/>
                </w:rPr>
                <w:t>Consent of Netherland, Sewell &amp; Associates, Inc., independent consulting engineers</w:t>
              </w:r>
            </w:hyperlink>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52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67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1615"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16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9"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31.1*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4" w:type="dxa"/>
            <w:tcBorders/>
            <w:tcMar>
              <w:top w:w="0" w:type="dxa"/>
              <w:left w:w="0" w:type="dxa"/>
              <w:bottom w:w="0" w:type="dxa"/>
              <w:right w:w="0" w:type="dxa"/>
            </w:tcMar>
            <w:vAlign w:val="center"/>
          </w:tcPr>
          <w:p>
            <w:pPr>
              <w:pStyle w:val="TableContents"/>
              <w:bidi w:val="0"/>
              <w:spacing w:before="180" w:after="283"/>
              <w:jc w:val="left"/>
              <w:rPr/>
            </w:pPr>
            <w:hyperlink w:anchor="rrc-ex31_1.htm">
              <w:r>
                <w:rPr>
                  <w:rStyle w:val="InternetLink"/>
                  <w:rFonts w:ascii="Times New Roman" w:hAnsi="Times New Roman"/>
                  <w:color w:val="0000FF"/>
                  <w:sz w:val="18"/>
                  <w:u w:val="single"/>
                </w:rPr>
                <w:t>Certification by the Chief Executive Officer of Range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52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67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1615"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16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9" w:type="dxa"/>
            <w:tcBorders/>
            <w:tcMar>
              <w:top w:w="0" w:type="dxa"/>
              <w:left w:w="0" w:type="dxa"/>
              <w:bottom w:w="0" w:type="dxa"/>
              <w:right w:w="0" w:type="dxa"/>
            </w:tcMar>
            <w:vAlign w:val="center"/>
          </w:tcPr>
          <w:p>
            <w:pPr>
              <w:pStyle w:val="TableContents"/>
              <w:bidi w:val="0"/>
              <w:spacing w:before="180" w:after="283"/>
              <w:jc w:val="center"/>
              <w:rPr>
                <w:color w:val="000000"/>
              </w:rPr>
            </w:pPr>
            <w:r>
              <w:rPr>
                <w:color w:val="000000"/>
              </w:rPr>
              <w:t> </w:t>
            </w:r>
            <w:r>
              <w:rPr>
                <w:rFonts w:ascii="Times New Roman" w:hAnsi="Times New Roman"/>
                <w:color w:val="000000"/>
                <w:sz w:val="18"/>
              </w:rPr>
              <w:t>31.2*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4" w:type="dxa"/>
            <w:tcBorders/>
            <w:tcMar>
              <w:top w:w="0" w:type="dxa"/>
              <w:left w:w="0" w:type="dxa"/>
              <w:bottom w:w="0" w:type="dxa"/>
              <w:right w:w="0" w:type="dxa"/>
            </w:tcMar>
            <w:vAlign w:val="center"/>
          </w:tcPr>
          <w:p>
            <w:pPr>
              <w:pStyle w:val="TableContents"/>
              <w:bidi w:val="0"/>
              <w:spacing w:before="180" w:after="283"/>
              <w:jc w:val="left"/>
              <w:rPr/>
            </w:pPr>
            <w:hyperlink w:anchor="rrc-ex31_2.htm">
              <w:r>
                <w:rPr>
                  <w:rStyle w:val="InternetLink"/>
                  <w:rFonts w:ascii="Times New Roman" w:hAnsi="Times New Roman"/>
                  <w:color w:val="0000FF"/>
                  <w:sz w:val="18"/>
                  <w:u w:val="single"/>
                </w:rPr>
                <w:t>Certification by the Chief Financial Officer of Range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52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67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1615"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16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9" w:type="dxa"/>
            <w:tcBorders/>
            <w:tcMar>
              <w:top w:w="0" w:type="dxa"/>
              <w:left w:w="0" w:type="dxa"/>
              <w:bottom w:w="0" w:type="dxa"/>
              <w:right w:w="0" w:type="dxa"/>
            </w:tcMar>
            <w:vAlign w:val="center"/>
          </w:tcPr>
          <w:p>
            <w:pPr>
              <w:pStyle w:val="TableContents"/>
              <w:bidi w:val="0"/>
              <w:spacing w:before="180" w:after="283"/>
              <w:jc w:val="center"/>
              <w:rPr>
                <w:color w:val="000000"/>
              </w:rPr>
            </w:pPr>
            <w:r>
              <w:rPr>
                <w:color w:val="000000"/>
              </w:rPr>
              <w:t> </w:t>
            </w:r>
            <w:r>
              <w:rPr>
                <w:rFonts w:ascii="Times New Roman" w:hAnsi="Times New Roman"/>
                <w:color w:val="000000"/>
                <w:sz w:val="18"/>
              </w:rPr>
              <w:t>32.1**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4" w:type="dxa"/>
            <w:tcBorders/>
            <w:tcMar>
              <w:top w:w="0" w:type="dxa"/>
              <w:left w:w="0" w:type="dxa"/>
              <w:bottom w:w="0" w:type="dxa"/>
              <w:right w:w="0" w:type="dxa"/>
            </w:tcMar>
            <w:vAlign w:val="center"/>
          </w:tcPr>
          <w:p>
            <w:pPr>
              <w:pStyle w:val="TableContents"/>
              <w:bidi w:val="0"/>
              <w:spacing w:before="180" w:after="283"/>
              <w:jc w:val="left"/>
              <w:rPr/>
            </w:pPr>
            <w:hyperlink w:anchor="rrc-ex32_1.htm">
              <w:r>
                <w:rPr>
                  <w:rStyle w:val="InternetLink"/>
                  <w:rFonts w:ascii="Times New Roman" w:hAnsi="Times New Roman"/>
                  <w:color w:val="0000FF"/>
                  <w:sz w:val="18"/>
                  <w:u w:val="single"/>
                </w:rPr>
                <w:t>Certification by the Chief Executive Officer of Range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52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67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1615"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16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9" w:type="dxa"/>
            <w:tcBorders/>
            <w:tcMar>
              <w:top w:w="0" w:type="dxa"/>
              <w:left w:w="0" w:type="dxa"/>
              <w:bottom w:w="0" w:type="dxa"/>
              <w:right w:w="0" w:type="dxa"/>
            </w:tcMar>
            <w:vAlign w:val="center"/>
          </w:tcPr>
          <w:p>
            <w:pPr>
              <w:pStyle w:val="TableContents"/>
              <w:bidi w:val="0"/>
              <w:spacing w:before="180" w:after="283"/>
              <w:jc w:val="center"/>
              <w:rPr>
                <w:color w:val="000000"/>
              </w:rPr>
            </w:pPr>
            <w:r>
              <w:rPr>
                <w:color w:val="000000"/>
              </w:rPr>
              <w:t> </w:t>
            </w:r>
            <w:r>
              <w:rPr>
                <w:rFonts w:ascii="Times New Roman" w:hAnsi="Times New Roman"/>
                <w:color w:val="000000"/>
                <w:sz w:val="18"/>
              </w:rPr>
              <w:t>32.2**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4" w:type="dxa"/>
            <w:tcBorders/>
            <w:tcMar>
              <w:top w:w="0" w:type="dxa"/>
              <w:left w:w="0" w:type="dxa"/>
              <w:bottom w:w="0" w:type="dxa"/>
              <w:right w:w="0" w:type="dxa"/>
            </w:tcMar>
            <w:vAlign w:val="center"/>
          </w:tcPr>
          <w:p>
            <w:pPr>
              <w:pStyle w:val="TableContents"/>
              <w:bidi w:val="0"/>
              <w:spacing w:before="180" w:after="283"/>
              <w:jc w:val="left"/>
              <w:rPr/>
            </w:pPr>
            <w:hyperlink w:anchor="rrc-ex32_2.htm">
              <w:r>
                <w:rPr>
                  <w:rStyle w:val="InternetLink"/>
                  <w:rFonts w:ascii="Times New Roman" w:hAnsi="Times New Roman"/>
                  <w:color w:val="0000FF"/>
                  <w:sz w:val="18"/>
                  <w:u w:val="single"/>
                </w:rPr>
                <w:t>Certification by the Chief Financial Officer of Range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52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67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1615"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16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9"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97</w:t>
            </w:r>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4324" w:type="dxa"/>
            <w:tcBorders/>
            <w:tcMar>
              <w:top w:w="0" w:type="dxa"/>
              <w:left w:w="0" w:type="dxa"/>
              <w:bottom w:w="0" w:type="dxa"/>
              <w:right w:w="0" w:type="dxa"/>
            </w:tcMar>
            <w:vAlign w:val="center"/>
          </w:tcPr>
          <w:p>
            <w:pPr>
              <w:pStyle w:val="TableContents"/>
              <w:bidi w:val="0"/>
              <w:spacing w:before="180" w:after="283"/>
              <w:jc w:val="left"/>
              <w:rPr/>
            </w:pPr>
            <w:hyperlink r:id="rId30">
              <w:r>
                <w:rPr>
                  <w:rStyle w:val="InternetLink"/>
                  <w:rFonts w:ascii="Times New Roman" w:hAnsi="Times New Roman"/>
                  <w:color w:val="0000FF"/>
                  <w:sz w:val="18"/>
                  <w:u w:val="single"/>
                </w:rPr>
                <w:t>Policy Relating to Recovery of Erroneously Awarded Compensation</w:t>
              </w:r>
            </w:hyperlink>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526"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10-K</w:t>
            </w:r>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676"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97</w:t>
            </w:r>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1615"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2/21/2024</w:t>
            </w:r>
          </w:p>
        </w:tc>
        <w:tc>
          <w:tcPr>
            <w:tcW w:w="16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9"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99.1*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4" w:type="dxa"/>
            <w:tcBorders/>
            <w:tcMar>
              <w:top w:w="0" w:type="dxa"/>
              <w:left w:w="0" w:type="dxa"/>
              <w:bottom w:w="0" w:type="dxa"/>
              <w:right w:w="0" w:type="dxa"/>
            </w:tcMar>
            <w:vAlign w:val="center"/>
          </w:tcPr>
          <w:p>
            <w:pPr>
              <w:pStyle w:val="TableContents"/>
              <w:bidi w:val="0"/>
              <w:spacing w:before="180" w:after="283"/>
              <w:jc w:val="left"/>
              <w:rPr/>
            </w:pPr>
            <w:hyperlink w:anchor="rrc-ex99_1.htm">
              <w:r>
                <w:rPr>
                  <w:rStyle w:val="InternetLink"/>
                  <w:rFonts w:ascii="Times New Roman" w:hAnsi="Times New Roman"/>
                  <w:color w:val="0000FF"/>
                  <w:sz w:val="18"/>
                  <w:u w:val="single"/>
                </w:rPr>
                <w:t>Report of Netherland, Sewell &amp; Associates, Inc., independent consulting engineers</w:t>
              </w:r>
            </w:hyperlink>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52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67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1615"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16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9" w:type="dxa"/>
            <w:tcBorders/>
            <w:tcMar>
              <w:top w:w="0" w:type="dxa"/>
              <w:left w:w="0" w:type="dxa"/>
              <w:bottom w:w="0" w:type="dxa"/>
              <w:right w:w="0" w:type="dxa"/>
            </w:tcMar>
            <w:vAlign w:val="center"/>
          </w:tcPr>
          <w:p>
            <w:pPr>
              <w:pStyle w:val="TableContents"/>
              <w:bidi w:val="0"/>
              <w:spacing w:before="180" w:after="283"/>
              <w:jc w:val="center"/>
              <w:rPr>
                <w:color w:val="000000"/>
              </w:rPr>
            </w:pPr>
            <w:r>
              <w:rPr>
                <w:color w:val="000000"/>
              </w:rPr>
              <w:t> </w:t>
            </w:r>
            <w:r>
              <w:rPr>
                <w:rFonts w:ascii="Times New Roman" w:hAnsi="Times New Roman"/>
                <w:color w:val="000000"/>
                <w:sz w:val="18"/>
              </w:rPr>
              <w:t>101.INS*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4" w:type="dxa"/>
            <w:tcBorders/>
            <w:tcMar>
              <w:top w:w="0" w:type="dxa"/>
              <w:left w:w="0" w:type="dxa"/>
              <w:bottom w:w="0" w:type="dxa"/>
              <w:right w:w="0" w:type="dxa"/>
            </w:tcMar>
            <w:vAlign w:val="center"/>
          </w:tcPr>
          <w:p>
            <w:pPr>
              <w:pStyle w:val="TableContents"/>
              <w:bidi w:val="0"/>
              <w:spacing w:before="180" w:after="283"/>
              <w:jc w:val="left"/>
              <w:rPr>
                <w:rFonts w:ascii="Times New Roman" w:hAnsi="Times New Roman"/>
                <w:color w:val="000000"/>
                <w:sz w:val="18"/>
              </w:rPr>
            </w:pPr>
            <w:r>
              <w:rPr>
                <w:rFonts w:ascii="Times New Roman" w:hAnsi="Times New Roman"/>
                <w:color w:val="000000"/>
                <w:sz w:val="18"/>
              </w:rPr>
              <w:t>Inline XBRL Instance Document</w:t>
            </w:r>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52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67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1615"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16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9" w:type="dxa"/>
            <w:tcBorders/>
            <w:tcMar>
              <w:top w:w="0" w:type="dxa"/>
              <w:left w:w="0" w:type="dxa"/>
              <w:bottom w:w="0" w:type="dxa"/>
              <w:right w:w="0" w:type="dxa"/>
            </w:tcMar>
            <w:vAlign w:val="center"/>
          </w:tcPr>
          <w:p>
            <w:pPr>
              <w:pStyle w:val="TableContents"/>
              <w:bidi w:val="0"/>
              <w:spacing w:before="180" w:after="283"/>
              <w:jc w:val="center"/>
              <w:rPr>
                <w:color w:val="000000"/>
              </w:rPr>
            </w:pPr>
            <w:r>
              <w:rPr>
                <w:color w:val="000000"/>
              </w:rPr>
              <w:t> </w:t>
            </w:r>
            <w:r>
              <w:rPr>
                <w:rFonts w:ascii="Times New Roman" w:hAnsi="Times New Roman"/>
                <w:color w:val="000000"/>
                <w:sz w:val="18"/>
              </w:rPr>
              <w:t>101.SCH*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4" w:type="dxa"/>
            <w:tcBorders/>
            <w:tcMar>
              <w:top w:w="0" w:type="dxa"/>
              <w:left w:w="0" w:type="dxa"/>
              <w:bottom w:w="0" w:type="dxa"/>
              <w:right w:w="0" w:type="dxa"/>
            </w:tcMar>
            <w:vAlign w:val="center"/>
          </w:tcPr>
          <w:p>
            <w:pPr>
              <w:pStyle w:val="TableContents"/>
              <w:bidi w:val="0"/>
              <w:spacing w:before="180" w:after="283"/>
              <w:jc w:val="left"/>
              <w:rPr>
                <w:rFonts w:ascii="Times New Roman" w:hAnsi="Times New Roman"/>
                <w:color w:val="000000"/>
                <w:sz w:val="18"/>
              </w:rPr>
            </w:pPr>
            <w:r>
              <w:rPr>
                <w:rFonts w:ascii="Times New Roman" w:hAnsi="Times New Roman"/>
                <w:color w:val="000000"/>
                <w:sz w:val="18"/>
              </w:rPr>
              <w:t>Inline XBRL Inline Taxonomy Extension Schema with Embedded Linkbase Document</w:t>
            </w:r>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52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67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1615"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16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9" w:type="dxa"/>
            <w:tcBorders>
              <w:bottom w:val="single" w:sz="8" w:space="0" w:color="000000"/>
            </w:tcBorders>
            <w:tcMar>
              <w:top w:w="0" w:type="dxa"/>
              <w:left w:w="0" w:type="dxa"/>
              <w:right w:w="0" w:type="dxa"/>
            </w:tcMar>
            <w:vAlign w:val="center"/>
          </w:tcPr>
          <w:p>
            <w:pPr>
              <w:pStyle w:val="TableContents"/>
              <w:bidi w:val="0"/>
              <w:spacing w:before="180" w:after="283"/>
              <w:jc w:val="center"/>
              <w:rPr>
                <w:color w:val="000000"/>
              </w:rPr>
            </w:pPr>
            <w:r>
              <w:rPr>
                <w:color w:val="000000"/>
              </w:rPr>
              <w:t> </w:t>
            </w:r>
            <w:r>
              <w:rPr>
                <w:rFonts w:ascii="Times New Roman" w:hAnsi="Times New Roman"/>
                <w:color w:val="000000"/>
                <w:sz w:val="18"/>
              </w:rPr>
              <w:t>104*</w:t>
            </w:r>
          </w:p>
        </w:tc>
        <w:tc>
          <w:tcPr>
            <w:tcW w:w="146" w:type="dxa"/>
            <w:tcBorders>
              <w:bottom w:val="single" w:sz="8" w:space="0" w:color="000000"/>
            </w:tcBorders>
            <w:tcMar>
              <w:top w:w="0" w:type="dxa"/>
              <w:left w:w="0" w:type="dxa"/>
              <w:right w:w="0" w:type="dxa"/>
            </w:tcMar>
            <w:vAlign w:val="center"/>
          </w:tcPr>
          <w:p>
            <w:pPr>
              <w:pStyle w:val="TableContents"/>
              <w:bidi w:val="0"/>
              <w:spacing w:before="180" w:after="283"/>
              <w:jc w:val="center"/>
              <w:rPr/>
            </w:pPr>
            <w:r>
              <w:rPr/>
              <w:t> </w:t>
            </w:r>
          </w:p>
        </w:tc>
        <w:tc>
          <w:tcPr>
            <w:tcW w:w="4324" w:type="dxa"/>
            <w:tcBorders>
              <w:bottom w:val="single" w:sz="8" w:space="0" w:color="000000"/>
            </w:tcBorders>
            <w:tcMar>
              <w:top w:w="0" w:type="dxa"/>
              <w:left w:w="0" w:type="dxa"/>
              <w:right w:w="0" w:type="dxa"/>
            </w:tcMar>
            <w:vAlign w:val="center"/>
          </w:tcPr>
          <w:p>
            <w:pPr>
              <w:pStyle w:val="TableContents"/>
              <w:bidi w:val="0"/>
              <w:spacing w:before="180" w:after="283"/>
              <w:jc w:val="left"/>
              <w:rPr>
                <w:rFonts w:ascii="Times New Roman" w:hAnsi="Times New Roman"/>
                <w:color w:val="000000"/>
                <w:sz w:val="18"/>
              </w:rPr>
            </w:pPr>
            <w:r>
              <w:rPr>
                <w:rFonts w:ascii="Times New Roman" w:hAnsi="Times New Roman"/>
                <w:color w:val="000000"/>
                <w:sz w:val="18"/>
              </w:rPr>
              <w:t>Cover Page Interactive Data File (formatted as inline XBRL and contained in Exhibit 101)</w:t>
            </w:r>
          </w:p>
        </w:tc>
        <w:tc>
          <w:tcPr>
            <w:tcW w:w="146" w:type="dxa"/>
            <w:tcBorders>
              <w:bottom w:val="single" w:sz="8" w:space="0" w:color="000000"/>
            </w:tcBorders>
            <w:tcMar>
              <w:top w:w="0" w:type="dxa"/>
              <w:left w:w="0" w:type="dxa"/>
              <w:right w:w="0" w:type="dxa"/>
            </w:tcMar>
            <w:vAlign w:val="center"/>
          </w:tcPr>
          <w:p>
            <w:pPr>
              <w:pStyle w:val="TableContents"/>
              <w:bidi w:val="0"/>
              <w:spacing w:before="180" w:after="283"/>
              <w:jc w:val="center"/>
              <w:rPr/>
            </w:pPr>
            <w:r>
              <w:rPr/>
              <w:t> </w:t>
            </w:r>
          </w:p>
        </w:tc>
        <w:tc>
          <w:tcPr>
            <w:tcW w:w="526" w:type="dxa"/>
            <w:tcBorders>
              <w:bottom w:val="single" w:sz="8" w:space="0" w:color="000000"/>
            </w:tcBorders>
            <w:tcMar>
              <w:top w:w="0" w:type="dxa"/>
              <w:left w:w="0" w:type="dxa"/>
              <w:right w:w="0" w:type="dxa"/>
            </w:tcMar>
            <w:vAlign w:val="center"/>
          </w:tcPr>
          <w:p>
            <w:pPr>
              <w:pStyle w:val="TableContents"/>
              <w:bidi w:val="0"/>
              <w:spacing w:before="180" w:after="283"/>
              <w:jc w:val="center"/>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180" w:after="283"/>
              <w:jc w:val="center"/>
              <w:rPr/>
            </w:pPr>
            <w:r>
              <w:rPr/>
              <w:t> </w:t>
            </w:r>
          </w:p>
        </w:tc>
        <w:tc>
          <w:tcPr>
            <w:tcW w:w="676" w:type="dxa"/>
            <w:tcBorders>
              <w:bottom w:val="single" w:sz="8" w:space="0" w:color="000000"/>
            </w:tcBorders>
            <w:tcMar>
              <w:top w:w="0" w:type="dxa"/>
              <w:left w:w="0" w:type="dxa"/>
              <w:right w:w="0" w:type="dxa"/>
            </w:tcMar>
            <w:vAlign w:val="center"/>
          </w:tcPr>
          <w:p>
            <w:pPr>
              <w:pStyle w:val="TableContents"/>
              <w:bidi w:val="0"/>
              <w:spacing w:before="180" w:after="283"/>
              <w:jc w:val="center"/>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180" w:after="283"/>
              <w:jc w:val="center"/>
              <w:rPr/>
            </w:pPr>
            <w:r>
              <w:rPr/>
              <w:t> </w:t>
            </w:r>
          </w:p>
        </w:tc>
        <w:tc>
          <w:tcPr>
            <w:tcW w:w="1615" w:type="dxa"/>
            <w:tcBorders>
              <w:bottom w:val="single" w:sz="8" w:space="0" w:color="000000"/>
            </w:tcBorders>
            <w:tcMar>
              <w:top w:w="0" w:type="dxa"/>
              <w:left w:w="0" w:type="dxa"/>
              <w:right w:w="0" w:type="dxa"/>
            </w:tcMar>
            <w:vAlign w:val="center"/>
          </w:tcPr>
          <w:p>
            <w:pPr>
              <w:pStyle w:val="TableContents"/>
              <w:bidi w:val="0"/>
              <w:spacing w:before="180" w:after="283"/>
              <w:ind w:left="0" w:right="0" w:firstLine="1469"/>
              <w:jc w:val="center"/>
              <w:rPr/>
            </w:pPr>
            <w:r>
              <w:rPr/>
              <w:t> </w:t>
            </w:r>
          </w:p>
        </w:tc>
        <w:tc>
          <w:tcPr>
            <w:tcW w:w="1661" w:type="dxa"/>
            <w:tcBorders>
              <w:bottom w:val="single" w:sz="8" w:space="0" w:color="000000"/>
            </w:tcBorders>
            <w:tcMar>
              <w:top w:w="0" w:type="dxa"/>
              <w:left w:w="0" w:type="dxa"/>
              <w:right w:w="0" w:type="dxa"/>
            </w:tcMar>
            <w:vAlign w:val="center"/>
          </w:tcPr>
          <w:p>
            <w:pPr>
              <w:pStyle w:val="TableContents"/>
              <w:bidi w:val="0"/>
              <w:spacing w:before="0" w:after="283"/>
              <w:ind w:left="0" w:right="0" w:firstLine="1469"/>
              <w:jc w:val="center"/>
              <w:rPr/>
            </w:pPr>
            <w:r>
              <w:rPr/>
              <w:t> </w:t>
            </w:r>
          </w:p>
        </w:tc>
      </w:tr>
      <w:tr>
        <w:trPr/>
        <w:tc>
          <w:tcPr>
            <w:tcW w:w="819" w:type="dxa"/>
            <w:tcBorders/>
            <w:tcMar>
              <w:top w:w="0" w:type="dxa"/>
              <w:left w:w="0" w:type="dxa"/>
              <w:bottom w:w="0" w:type="dxa"/>
              <w:right w:w="0" w:type="dxa"/>
            </w:tcMar>
            <w:vAlign w:val="center"/>
          </w:tcPr>
          <w:p>
            <w:pPr>
              <w:pStyle w:val="TableContents"/>
              <w:bidi w:val="0"/>
              <w:jc w:val="right"/>
              <w:rPr/>
            </w:pPr>
            <w:r>
              <w:rPr/>
              <w:t> </w:t>
            </w:r>
          </w:p>
          <w:p>
            <w:pPr>
              <w:pStyle w:val="TableContents"/>
              <w:bidi w:val="0"/>
              <w:jc w:val="right"/>
              <w:rPr>
                <w:rFonts w:ascii="Times New Roman" w:hAnsi="Times New Roman"/>
                <w:color w:val="000000"/>
                <w:sz w:val="18"/>
              </w:rPr>
            </w:pPr>
            <w:r>
              <w:rPr>
                <w:rFonts w:ascii="Times New Roman" w:hAnsi="Times New Roman"/>
                <w:color w:val="000000"/>
                <w:sz w:val="18"/>
              </w:rPr>
              <w:t>*</w:t>
            </w:r>
          </w:p>
          <w:p>
            <w:pPr>
              <w:pStyle w:val="TableContents"/>
              <w:bidi w:val="0"/>
              <w:jc w:val="right"/>
              <w:rPr>
                <w:rFonts w:ascii="Times New Roman" w:hAnsi="Times New Roman"/>
                <w:color w:val="000000"/>
                <w:sz w:val="18"/>
              </w:rPr>
            </w:pPr>
            <w:r>
              <w:rPr>
                <w:rFonts w:ascii="Times New Roman" w:hAnsi="Times New Roman"/>
                <w:color w:val="000000"/>
                <w:sz w:val="18"/>
              </w:rPr>
              <w:t>**</w:t>
            </w:r>
          </w:p>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324"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rFonts w:ascii="Times New Roman" w:hAnsi="Times New Roman"/>
                <w:color w:val="000000"/>
                <w:sz w:val="18"/>
              </w:rPr>
            </w:pPr>
            <w:r>
              <w:rPr>
                <w:rFonts w:ascii="Times New Roman" w:hAnsi="Times New Roman"/>
                <w:color w:val="000000"/>
                <w:sz w:val="18"/>
              </w:rPr>
              <w:t>Filed herewith</w:t>
            </w:r>
          </w:p>
          <w:p>
            <w:pPr>
              <w:pStyle w:val="TableContents"/>
              <w:bidi w:val="0"/>
              <w:jc w:val="left"/>
              <w:rPr>
                <w:rFonts w:ascii="Times New Roman" w:hAnsi="Times New Roman"/>
                <w:color w:val="000000"/>
                <w:sz w:val="18"/>
              </w:rPr>
            </w:pPr>
            <w:r>
              <w:rPr>
                <w:rFonts w:ascii="Times New Roman" w:hAnsi="Times New Roman"/>
                <w:color w:val="000000"/>
                <w:sz w:val="18"/>
              </w:rPr>
              <w:t>Furnished herewith</w:t>
            </w:r>
          </w:p>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Management compensatory plan or arrangement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15" w:type="dxa"/>
            <w:tcBorders/>
            <w:tcMar>
              <w:top w:w="0" w:type="dxa"/>
              <w:left w:w="0" w:type="dxa"/>
              <w:bottom w:w="0" w:type="dxa"/>
              <w:right w:w="0" w:type="dxa"/>
            </w:tcMar>
            <w:vAlign w:val="center"/>
          </w:tcPr>
          <w:p>
            <w:pPr>
              <w:pStyle w:val="TableContents"/>
              <w:bidi w:val="0"/>
              <w:spacing w:before="0" w:after="283"/>
              <w:ind w:left="0" w:right="0" w:firstLine="1469"/>
              <w:jc w:val="center"/>
              <w:rPr/>
            </w:pPr>
            <w:r>
              <w:rPr/>
              <w:t> </w:t>
            </w:r>
          </w:p>
        </w:tc>
        <w:tc>
          <w:tcPr>
            <w:tcW w:w="1661" w:type="dxa"/>
            <w:tcBorders/>
            <w:tcMar>
              <w:top w:w="0" w:type="dxa"/>
              <w:left w:w="0" w:type="dxa"/>
              <w:bottom w:w="0" w:type="dxa"/>
              <w:right w:w="0" w:type="dxa"/>
            </w:tcMar>
            <w:vAlign w:val="center"/>
          </w:tcPr>
          <w:p>
            <w:pPr>
              <w:pStyle w:val="TableContents"/>
              <w:bidi w:val="0"/>
              <w:spacing w:before="0" w:after="283"/>
              <w:ind w:left="0" w:right="0" w:firstLine="1469"/>
              <w:jc w:val="center"/>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86" w:name="signatures"/>
      <w:bookmarkEnd w:id="86"/>
      <w:r>
        <w:rPr>
          <w:rFonts w:ascii="Times New Roman" w:hAnsi="Times New Roman"/>
          <w:b/>
          <w:caps/>
          <w:color w:val="000000"/>
          <w:sz w:val="20"/>
        </w:rPr>
        <w:t>SIGNATURES</w:t>
      </w:r>
      <w:r>
        <w:rPr>
          <w:rFonts w:ascii="Times New Roman" w:hAnsi="Times New Roman"/>
          <w:caps/>
          <w:color w:val="000000"/>
          <w:sz w:val="20"/>
        </w:rPr>
        <w:t xml:space="preserve"> </w:t>
      </w:r>
    </w:p>
    <w:p>
      <w:pPr>
        <w:pStyle w:val="TextBody"/>
        <w:bidi w:val="0"/>
        <w:jc w:val="center"/>
        <w:rPr/>
      </w:pPr>
      <w:r>
        <w:rPr/>
        <w:t>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Pursuant to the requirements of Section 13 or 15(d) of the Securities Exchange Act of 1934, the registrant has duly caused this report to be signed on its behalf by the undersigned, thereunto duly authorized. </w:t>
      </w:r>
    </w:p>
    <w:p>
      <w:pPr>
        <w:pStyle w:val="TextBody"/>
        <w:bidi w:val="0"/>
        <w:jc w:val="left"/>
        <w:rPr/>
      </w:pPr>
      <w:r>
        <w:rPr/>
        <w:t> </w:t>
      </w:r>
    </w:p>
    <w:tbl>
      <w:tblPr>
        <w:tblW w:w="3753" w:type="dxa"/>
        <w:jc w:val="left"/>
        <w:tblInd w:w="0" w:type="dxa"/>
        <w:tblLayout w:type="fixed"/>
        <w:tblCellMar>
          <w:top w:w="28" w:type="dxa"/>
          <w:left w:w="28" w:type="dxa"/>
          <w:bottom w:w="28" w:type="dxa"/>
          <w:right w:w="28" w:type="dxa"/>
        </w:tblCellMar>
      </w:tblPr>
      <w:tblGrid>
        <w:gridCol w:w="223"/>
        <w:gridCol w:w="197"/>
        <w:gridCol w:w="3333"/>
      </w:tblGrid>
      <w:tr>
        <w:trPr/>
        <w:tc>
          <w:tcPr>
            <w:tcW w:w="22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333" w:type="dxa"/>
            <w:tcBorders/>
            <w:vAlign w:val="center"/>
          </w:tcPr>
          <w:p>
            <w:pPr>
              <w:pStyle w:val="TableContents"/>
              <w:bidi w:val="0"/>
              <w:spacing w:before="0" w:after="283"/>
              <w:jc w:val="left"/>
              <w:rPr>
                <w:sz w:val="4"/>
                <w:szCs w:val="4"/>
              </w:rPr>
            </w:pPr>
            <w:r>
              <w:rPr>
                <w:sz w:val="4"/>
                <w:szCs w:val="4"/>
              </w:rPr>
            </w:r>
          </w:p>
        </w:tc>
      </w:tr>
      <w:tr>
        <w:trPr/>
        <w:tc>
          <w:tcPr>
            <w:tcW w:w="3753" w:type="dxa"/>
            <w:gridSpan w:val="3"/>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RANGE RESOURCES CORPORATION</w:t>
            </w:r>
          </w:p>
          <w:p>
            <w:pPr>
              <w:pStyle w:val="TableContents"/>
              <w:bidi w:val="0"/>
              <w:spacing w:before="0" w:after="20"/>
              <w:jc w:val="left"/>
              <w:rPr/>
            </w:pPr>
            <w:r>
              <w:rPr/>
              <w:t> </w:t>
            </w:r>
          </w:p>
        </w:tc>
      </w:tr>
      <w:tr>
        <w:trPr/>
        <w:tc>
          <w:tcPr>
            <w:tcW w:w="42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3"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DENNIS L. DEGNER</w:t>
            </w:r>
          </w:p>
        </w:tc>
      </w:tr>
      <w:tr>
        <w:trPr/>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Dennis L. Degner</w:t>
            </w:r>
          </w:p>
        </w:tc>
      </w:tr>
      <w:tr>
        <w:trPr/>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3" w:type="dxa"/>
            <w:tcBorders/>
            <w:tcMar>
              <w:top w:w="0" w:type="dxa"/>
              <w:left w:w="0" w:type="dxa"/>
              <w:bottom w:w="0" w:type="dxa"/>
              <w:right w:w="0" w:type="dxa"/>
            </w:tcMar>
            <w:vAlign w:val="center"/>
          </w:tcPr>
          <w:p>
            <w:pPr>
              <w:pStyle w:val="TableContents"/>
              <w:bidi w:val="0"/>
              <w:jc w:val="center"/>
              <w:rPr>
                <w:rFonts w:ascii="Times New Roman" w:hAnsi="Times New Roman"/>
                <w:b/>
                <w:i/>
                <w:color w:val="000000"/>
                <w:sz w:val="20"/>
              </w:rPr>
            </w:pPr>
            <w:r>
              <w:rPr>
                <w:rFonts w:ascii="Times New Roman" w:hAnsi="Times New Roman"/>
                <w:b/>
                <w:i/>
                <w:color w:val="000000"/>
                <w:sz w:val="20"/>
              </w:rPr>
              <w:t>Chief Executive Officer and President</w:t>
            </w:r>
          </w:p>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(principal executive officer)</w:t>
            </w:r>
          </w:p>
        </w:tc>
      </w:tr>
    </w:tbl>
    <w:p>
      <w:pPr>
        <w:pStyle w:val="TextBody"/>
        <w:bidi w:val="0"/>
        <w:spacing w:before="60" w:after="283"/>
        <w:jc w:val="left"/>
        <w:rPr>
          <w:rFonts w:ascii="Times New Roman" w:hAnsi="Times New Roman"/>
          <w:color w:val="000000"/>
          <w:sz w:val="20"/>
        </w:rPr>
      </w:pPr>
      <w:r>
        <w:rPr>
          <w:rFonts w:ascii="Times New Roman" w:hAnsi="Times New Roman"/>
          <w:color w:val="000000"/>
          <w:sz w:val="20"/>
        </w:rPr>
        <w:t>Dated: February 24, 2026</w:t>
      </w:r>
    </w:p>
    <w:p>
      <w:pPr>
        <w:pStyle w:val="TextBody"/>
        <w:bidi w:val="0"/>
        <w:spacing w:before="120" w:after="360"/>
        <w:jc w:val="left"/>
        <w:rPr/>
      </w:pPr>
      <w:r>
        <w:rPr/>
        <w:t> </w:t>
      </w:r>
    </w:p>
    <w:p>
      <w:pPr>
        <w:pStyle w:val="TextBody"/>
        <w:bidi w:val="0"/>
        <w:spacing w:before="0" w:after="360"/>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this report has been signed below by the following persons on behalf of the registrant and in the capacity and on the dates indicated. </w:t>
      </w:r>
    </w:p>
    <w:tbl>
      <w:tblPr>
        <w:tblW w:w="9445" w:type="dxa"/>
        <w:jc w:val="left"/>
        <w:tblInd w:w="0" w:type="dxa"/>
        <w:tblLayout w:type="fixed"/>
        <w:tblCellMar>
          <w:top w:w="28" w:type="dxa"/>
          <w:left w:w="28" w:type="dxa"/>
          <w:bottom w:w="28" w:type="dxa"/>
          <w:right w:w="28" w:type="dxa"/>
        </w:tblCellMar>
      </w:tblPr>
      <w:tblGrid>
        <w:gridCol w:w="2581"/>
        <w:gridCol w:w="146"/>
        <w:gridCol w:w="4936"/>
        <w:gridCol w:w="146"/>
        <w:gridCol w:w="1636"/>
      </w:tblGrid>
      <w:tr>
        <w:trPr/>
        <w:tc>
          <w:tcPr>
            <w:tcW w:w="2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258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Signature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36"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8"/>
              </w:rPr>
            </w:pPr>
            <w:r>
              <w:rPr>
                <w:rFonts w:ascii="Times New Roman" w:hAnsi="Times New Roman"/>
                <w:b/>
                <w:color w:val="000000"/>
                <w:sz w:val="18"/>
              </w:rPr>
              <w:t>Capacity</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36"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8"/>
              </w:rPr>
            </w:pPr>
            <w:r>
              <w:rPr>
                <w:rFonts w:ascii="Times New Roman" w:hAnsi="Times New Roman"/>
                <w:b/>
                <w:color w:val="000000"/>
                <w:sz w:val="18"/>
              </w:rPr>
              <w:t>Date</w:t>
            </w:r>
          </w:p>
        </w:tc>
      </w:tr>
      <w:tr>
        <w:trPr/>
        <w:tc>
          <w:tcPr>
            <w:tcW w:w="258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DENNIS L. DEGNER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36" w:type="dxa"/>
            <w:tcBorders>
              <w:bottom w:val="single" w:sz="8" w:space="0" w:color="000000"/>
            </w:tcBorders>
            <w:tcMar>
              <w:top w:w="0" w:type="dxa"/>
              <w:left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President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24, 2026</w:t>
            </w:r>
          </w:p>
        </w:tc>
      </w:tr>
      <w:tr>
        <w:trPr/>
        <w:tc>
          <w:tcPr>
            <w:tcW w:w="25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Dennis L. Degner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/s/ </w:t>
            </w:r>
            <w:r>
              <w:rPr>
                <w:rFonts w:ascii="Times New Roman" w:hAnsi="Times New Roman"/>
                <w:caps/>
                <w:color w:val="000000"/>
                <w:sz w:val="20"/>
              </w:rPr>
              <w:t>mark s. scucchi</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3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and Chief Financial Officer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24, 2026</w:t>
            </w:r>
          </w:p>
        </w:tc>
      </w:tr>
      <w:tr>
        <w:trPr/>
        <w:tc>
          <w:tcPr>
            <w:tcW w:w="25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Mark S. Scucchi</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ASHLEY S. KAVANAUGH</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36" w:type="dxa"/>
            <w:tcBorders>
              <w:bottom w:val="single" w:sz="8" w:space="0" w:color="000000"/>
            </w:tcBorders>
            <w:tcMar>
              <w:top w:w="0" w:type="dxa"/>
              <w:left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Vice President, Controller and Principal Accounting Officer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24, 2026</w:t>
            </w:r>
          </w:p>
        </w:tc>
      </w:tr>
      <w:tr>
        <w:trPr/>
        <w:tc>
          <w:tcPr>
            <w:tcW w:w="25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Ashley S. Kavanaugh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accounting officer)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/s/ </w:t>
            </w:r>
            <w:r>
              <w:rPr>
                <w:rFonts w:ascii="Times New Roman" w:hAnsi="Times New Roman"/>
                <w:caps/>
                <w:color w:val="000000"/>
                <w:sz w:val="20"/>
              </w:rPr>
              <w:t>Greg G. maxwell</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493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Chairman of the Board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24, 2026</w:t>
            </w:r>
          </w:p>
        </w:tc>
      </w:tr>
      <w:tr>
        <w:trPr/>
        <w:tc>
          <w:tcPr>
            <w:tcW w:w="25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Greg G. Maxwell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bottom w:val="single" w:sz="8" w:space="0" w:color="000000"/>
            </w:tcBorders>
            <w:tcMar>
              <w:top w:w="0" w:type="dxa"/>
              <w:left w:w="0" w:type="dxa"/>
              <w:right w:w="0" w:type="dxa"/>
            </w:tcMar>
            <w:vAlign w:val="center"/>
          </w:tcPr>
          <w:p>
            <w:pPr>
              <w:pStyle w:val="TableContents"/>
              <w:bidi w:val="0"/>
              <w:jc w:val="left"/>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BRENDA A. CLINE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493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24, 2026</w:t>
            </w:r>
          </w:p>
        </w:tc>
      </w:tr>
      <w:tr>
        <w:trPr/>
        <w:tc>
          <w:tcPr>
            <w:tcW w:w="25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Brenda A. Cline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bottom w:val="single" w:sz="8"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MARGARET K. DORMAN</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493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24, 2026</w:t>
            </w:r>
          </w:p>
        </w:tc>
      </w:tr>
      <w:tr>
        <w:trPr/>
        <w:tc>
          <w:tcPr>
            <w:tcW w:w="25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Margaret K. Dorman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CHARLES G. GRIFFIE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3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24, 2026</w:t>
            </w:r>
          </w:p>
        </w:tc>
      </w:tr>
      <w:tr>
        <w:trPr/>
        <w:tc>
          <w:tcPr>
            <w:tcW w:w="25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Charles G. Griffie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bottom w:val="single" w:sz="8" w:space="0" w:color="000000"/>
            </w:tcBorders>
            <w:tcMar>
              <w:top w:w="0" w:type="dxa"/>
              <w:left w:w="0" w:type="dxa"/>
              <w:right w:w="0" w:type="dxa"/>
            </w:tcMar>
            <w:vAlign w:val="center"/>
          </w:tcPr>
          <w:p>
            <w:pPr>
              <w:pStyle w:val="TableContents"/>
              <w:bidi w:val="0"/>
              <w:jc w:val="left"/>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CHRISTIAN S. KENDALL</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4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24, 2026</w:t>
            </w:r>
          </w:p>
        </w:tc>
      </w:tr>
      <w:tr>
        <w:trPr/>
        <w:tc>
          <w:tcPr>
            <w:tcW w:w="25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Christian S. Kendall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REGINAL W. SPILLER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3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24, 2026</w:t>
            </w:r>
          </w:p>
        </w:tc>
      </w:tr>
      <w:tr>
        <w:trPr/>
        <w:tc>
          <w:tcPr>
            <w:tcW w:w="25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Reginal W. Spiller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bookmarkStart w:id="87" w:name="rrc-ex4_1.htm"/>
      <w:bookmarkStart w:id="88" w:name="ksrrcex4_1"/>
      <w:bookmarkEnd w:id="87"/>
      <w:bookmarkEnd w:id="88"/>
      <w:r>
        <w:rPr/>
        <w:t> </w:t>
      </w:r>
      <w:r>
        <w:br w:type="page"/>
      </w:r>
    </w:p>
    <w:p>
      <w:pPr>
        <w:pStyle w:val="TextBody"/>
        <w:bidi w:val="0"/>
        <w:spacing w:before="0" w:after="160"/>
        <w:jc w:val="right"/>
        <w:rPr>
          <w:rFonts w:ascii="Times New Roman" w:hAnsi="Times New Roman"/>
          <w:b/>
          <w:color w:val="000000"/>
          <w:sz w:val="20"/>
        </w:rPr>
      </w:pPr>
      <w:r>
        <w:rPr>
          <w:rFonts w:ascii="Times New Roman" w:hAnsi="Times New Roman"/>
          <w:b/>
          <w:color w:val="000000"/>
          <w:sz w:val="20"/>
        </w:rPr>
        <w:t>EXHIBIT 4.1</w:t>
      </w:r>
    </w:p>
    <w:p>
      <w:pPr>
        <w:pStyle w:val="TextBody"/>
        <w:bidi w:val="0"/>
        <w:spacing w:before="320" w:after="283"/>
        <w:jc w:val="center"/>
        <w:rPr>
          <w:rFonts w:ascii="Times New Roman" w:hAnsi="Times New Roman"/>
          <w:b/>
          <w:color w:val="000000"/>
          <w:sz w:val="20"/>
        </w:rPr>
      </w:pPr>
      <w:r>
        <w:rPr>
          <w:rFonts w:ascii="Times New Roman" w:hAnsi="Times New Roman"/>
          <w:b/>
          <w:color w:val="000000"/>
          <w:sz w:val="20"/>
        </w:rPr>
        <w:t>DESCRIPTION OF THE REGISTRANT’S SECURITIES</w:t>
      </w:r>
    </w:p>
    <w:p>
      <w:pPr>
        <w:pStyle w:val="TextBody"/>
        <w:bidi w:val="0"/>
        <w:jc w:val="center"/>
        <w:rPr>
          <w:rFonts w:ascii="Times New Roman" w:hAnsi="Times New Roman"/>
          <w:b/>
          <w:color w:val="000000"/>
          <w:sz w:val="20"/>
        </w:rPr>
      </w:pPr>
      <w:r>
        <w:rPr>
          <w:rFonts w:ascii="Times New Roman" w:hAnsi="Times New Roman"/>
          <w:b/>
          <w:color w:val="000000"/>
          <w:sz w:val="20"/>
        </w:rPr>
        <w:t>REGISTERED PURSUANT TO SECTION 12 OF THE</w:t>
      </w:r>
    </w:p>
    <w:p>
      <w:pPr>
        <w:pStyle w:val="TextBody"/>
        <w:bidi w:val="0"/>
        <w:spacing w:before="0" w:after="360"/>
        <w:jc w:val="center"/>
        <w:rPr>
          <w:rFonts w:ascii="Times New Roman" w:hAnsi="Times New Roman"/>
          <w:b/>
          <w:color w:val="000000"/>
          <w:sz w:val="20"/>
        </w:rPr>
      </w:pPr>
      <w:r>
        <w:rPr>
          <w:rFonts w:ascii="Times New Roman" w:hAnsi="Times New Roman"/>
          <w:b/>
          <w:color w:val="000000"/>
          <w:sz w:val="20"/>
        </w:rPr>
        <w:t>SECURITIES EXCHANGE ACT OF 1934</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As of the date of the Annual Report on Form 10-K of which this exhibit is a part, Range Resources Corporation (the "Company") has one class of securities registered under Section 12 of the Securities Exchange Act of 1934, as amended (the "Exchange Act") which is our common stock. </w:t>
      </w:r>
    </w:p>
    <w:p>
      <w:pPr>
        <w:pStyle w:val="TextBody"/>
        <w:bidi w:val="0"/>
        <w:spacing w:before="0" w:after="180"/>
        <w:jc w:val="both"/>
        <w:rPr>
          <w:rFonts w:ascii="Times New Roman" w:hAnsi="Times New Roman"/>
          <w:b/>
          <w:color w:val="000000"/>
          <w:sz w:val="20"/>
        </w:rPr>
      </w:pPr>
      <w:r>
        <w:rPr>
          <w:rFonts w:ascii="Times New Roman" w:hAnsi="Times New Roman"/>
          <w:b/>
          <w:color w:val="000000"/>
          <w:sz w:val="20"/>
        </w:rPr>
        <w:t>Description of Common Stock</w:t>
      </w:r>
    </w:p>
    <w:p>
      <w:pPr>
        <w:pStyle w:val="TextBody"/>
        <w:bidi w:val="0"/>
        <w:spacing w:before="0" w:after="180"/>
        <w:jc w:val="both"/>
        <w:rPr>
          <w:rFonts w:ascii="Times New Roman" w:hAnsi="Times New Roman"/>
          <w:i/>
          <w:color w:val="000000"/>
          <w:sz w:val="20"/>
        </w:rPr>
      </w:pPr>
      <w:r>
        <w:rPr>
          <w:rFonts w:ascii="Times New Roman" w:hAnsi="Times New Roman"/>
          <w:i/>
          <w:color w:val="000000"/>
          <w:sz w:val="20"/>
        </w:rPr>
        <w:t>The following description of our common stock is a summary and does not purport to be complete. It is subject to and qualified in its entirety by reference to our Annual and Restated Certified of Incorporation, as amended (the "charter") and our Amended and Restated Bylaws (the "bylaws"), each of which are incorporated by reference as an exhibit to the Annual Report on Form 10-K of which this exhibit is a part. We encourage you to read our charter, our bylaws and the applicable provisions of Delaware General Corporation Law for additional information.</w:t>
      </w:r>
    </w:p>
    <w:p>
      <w:pPr>
        <w:pStyle w:val="TextBody"/>
        <w:bidi w:val="0"/>
        <w:spacing w:before="180" w:after="180"/>
        <w:jc w:val="both"/>
        <w:rPr>
          <w:rFonts w:ascii="Times New Roman" w:hAnsi="Times New Roman"/>
          <w:b/>
          <w:color w:val="000000"/>
          <w:sz w:val="20"/>
        </w:rPr>
      </w:pPr>
      <w:r>
        <w:rPr>
          <w:rFonts w:ascii="Times New Roman" w:hAnsi="Times New Roman"/>
          <w:b/>
          <w:color w:val="000000"/>
          <w:sz w:val="20"/>
        </w:rPr>
        <w:t>Authorized Capital Stock</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At December 31, 2025, our authorized and outstanding capital stock consisted of:</w:t>
      </w:r>
    </w:p>
    <w:p>
      <w:pPr>
        <w:pStyle w:val="TextBody"/>
        <w:bidi w:val="0"/>
        <w:spacing w:before="0" w:after="180"/>
        <w:jc w:val="both"/>
        <w:rPr>
          <w:color w:val="000000"/>
        </w:rPr>
      </w:pPr>
      <w:r>
        <w:rPr>
          <w:color w:val="000000"/>
        </w:rPr>
        <w:t>•</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 xml:space="preserve">10,000,000 shares of preferred stock, par value $1.00 per share, of which, no shares are issued and outstanding; and </w:t>
      </w:r>
    </w:p>
    <w:p>
      <w:pPr>
        <w:pStyle w:val="TextBody"/>
        <w:bidi w:val="0"/>
        <w:spacing w:before="0" w:after="180"/>
        <w:jc w:val="both"/>
        <w:rPr>
          <w:color w:val="000000"/>
        </w:rPr>
      </w:pPr>
      <w:r>
        <w:rPr>
          <w:color w:val="000000"/>
        </w:rPr>
        <w:t>•</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475,000,000 shares of common stock, par value $0.01 per share, of which 235,458,212 shares were outstanding.</w:t>
      </w:r>
    </w:p>
    <w:p>
      <w:pPr>
        <w:pStyle w:val="TextBody"/>
        <w:bidi w:val="0"/>
        <w:spacing w:before="60" w:after="180"/>
        <w:jc w:val="both"/>
        <w:rPr>
          <w:rFonts w:ascii="Times New Roman" w:hAnsi="Times New Roman"/>
          <w:b/>
          <w:color w:val="000000"/>
          <w:sz w:val="20"/>
        </w:rPr>
      </w:pPr>
      <w:r>
        <w:rPr>
          <w:rFonts w:ascii="Times New Roman" w:hAnsi="Times New Roman"/>
          <w:b/>
          <w:color w:val="000000"/>
          <w:sz w:val="20"/>
        </w:rPr>
        <w:t>Common Stock</w:t>
      </w:r>
    </w:p>
    <w:p>
      <w:pPr>
        <w:pStyle w:val="TextBody"/>
        <w:bidi w:val="0"/>
        <w:spacing w:before="0" w:after="180"/>
        <w:jc w:val="both"/>
        <w:rPr>
          <w:color w:val="000000"/>
        </w:rPr>
      </w:pPr>
      <w:r>
        <w:rPr>
          <w:color w:val="000000"/>
        </w:rPr>
        <w:t>•</w:t>
      </w:r>
    </w:p>
    <w:p>
      <w:pPr>
        <w:pStyle w:val="TextBody"/>
        <w:bidi w:val="0"/>
        <w:spacing w:before="0" w:after="180"/>
        <w:jc w:val="both"/>
        <w:rPr/>
      </w:pPr>
      <w:r>
        <w:rPr>
          <w:rFonts w:ascii="Times New Roman" w:hAnsi="Times New Roman"/>
          <w:i/>
          <w:color w:val="000000"/>
          <w:sz w:val="20"/>
        </w:rPr>
        <w:t>Dividends.</w:t>
      </w:r>
      <w:r>
        <w:rPr>
          <w:color w:val="000000"/>
        </w:rPr>
        <w:t xml:space="preserve"> </w:t>
      </w:r>
      <w:r>
        <w:rPr>
          <w:rFonts w:ascii="Times New Roman" w:hAnsi="Times New Roman"/>
          <w:color w:val="000000"/>
          <w:sz w:val="20"/>
        </w:rPr>
        <w:t>Common stockholders may receive dividends when declared by the board of directors. Dividends may be paid in cash, stock or other form. In certain cases, common stockholders may not receive dividends until we have satisfied our obligations to any preferred stockholders. Certain of our debt instruments limit the payment of cash dividends.</w:t>
      </w:r>
    </w:p>
    <w:p>
      <w:pPr>
        <w:pStyle w:val="TextBody"/>
        <w:bidi w:val="0"/>
        <w:spacing w:before="0" w:after="180"/>
        <w:jc w:val="both"/>
        <w:rPr>
          <w:color w:val="000000"/>
        </w:rPr>
      </w:pPr>
      <w:r>
        <w:rPr>
          <w:color w:val="000000"/>
        </w:rPr>
        <w:t>•</w:t>
      </w:r>
    </w:p>
    <w:p>
      <w:pPr>
        <w:pStyle w:val="TextBody"/>
        <w:bidi w:val="0"/>
        <w:spacing w:before="0" w:after="180"/>
        <w:jc w:val="both"/>
        <w:rPr/>
      </w:pPr>
      <w:r>
        <w:rPr>
          <w:rFonts w:ascii="Times New Roman" w:hAnsi="Times New Roman"/>
          <w:i/>
          <w:color w:val="000000"/>
          <w:sz w:val="20"/>
        </w:rPr>
        <w:t>Voting Rights.</w:t>
      </w:r>
      <w:r>
        <w:rPr>
          <w:color w:val="000000"/>
        </w:rPr>
        <w:t xml:space="preserve"> </w:t>
      </w:r>
      <w:r>
        <w:rPr>
          <w:rFonts w:ascii="Times New Roman" w:hAnsi="Times New Roman"/>
          <w:color w:val="000000"/>
          <w:sz w:val="20"/>
        </w:rPr>
        <w:t>Each share of our common stock is entitled to one vote in the election of directors and other matters. Common stockholders are not entitled to cumulative voting rights.</w:t>
      </w:r>
    </w:p>
    <w:p>
      <w:pPr>
        <w:pStyle w:val="TextBody"/>
        <w:bidi w:val="0"/>
        <w:spacing w:before="0" w:after="180"/>
        <w:jc w:val="both"/>
        <w:rPr>
          <w:color w:val="000000"/>
        </w:rPr>
      </w:pPr>
      <w:r>
        <w:rPr>
          <w:color w:val="000000"/>
        </w:rPr>
        <w:t>•</w:t>
      </w:r>
    </w:p>
    <w:p>
      <w:pPr>
        <w:pStyle w:val="TextBody"/>
        <w:bidi w:val="0"/>
        <w:spacing w:before="0" w:after="180"/>
        <w:jc w:val="both"/>
        <w:rPr/>
      </w:pPr>
      <w:r>
        <w:rPr>
          <w:rFonts w:ascii="Times New Roman" w:hAnsi="Times New Roman"/>
          <w:i/>
          <w:color w:val="000000"/>
          <w:sz w:val="20"/>
        </w:rPr>
        <w:t>Other Rights.</w:t>
      </w:r>
      <w:r>
        <w:rPr>
          <w:color w:val="000000"/>
        </w:rPr>
        <w:t xml:space="preserve"> </w:t>
      </w:r>
      <w:r>
        <w:rPr>
          <w:rFonts w:ascii="Times New Roman" w:hAnsi="Times New Roman"/>
          <w:color w:val="000000"/>
          <w:sz w:val="20"/>
        </w:rPr>
        <w:t>Common stockholders are not entitled to preemptive rights. If we liquidate, dissolve or wind-up our business, either voluntarily or not, common stockholders will share equally in the assets remaining after we pay our creditors and preferred stockholders, if any.</w:t>
      </w:r>
    </w:p>
    <w:p>
      <w:pPr>
        <w:pStyle w:val="TextBody"/>
        <w:bidi w:val="0"/>
        <w:spacing w:before="0" w:after="180"/>
        <w:jc w:val="both"/>
        <w:rPr>
          <w:color w:val="000000"/>
        </w:rPr>
      </w:pPr>
      <w:r>
        <w:rPr>
          <w:color w:val="000000"/>
        </w:rPr>
        <w:t>•</w:t>
      </w:r>
    </w:p>
    <w:p>
      <w:pPr>
        <w:pStyle w:val="TextBody"/>
        <w:bidi w:val="0"/>
        <w:spacing w:before="0" w:after="180"/>
        <w:jc w:val="both"/>
        <w:rPr/>
      </w:pPr>
      <w:r>
        <w:rPr>
          <w:rFonts w:ascii="Times New Roman" w:hAnsi="Times New Roman"/>
          <w:i/>
          <w:color w:val="000000"/>
          <w:sz w:val="20"/>
        </w:rPr>
        <w:t>Listing.</w:t>
      </w:r>
      <w:r>
        <w:rPr>
          <w:color w:val="000000"/>
        </w:rPr>
        <w:t xml:space="preserve"> </w:t>
      </w:r>
      <w:r>
        <w:rPr>
          <w:rFonts w:ascii="Times New Roman" w:hAnsi="Times New Roman"/>
          <w:color w:val="000000"/>
          <w:sz w:val="20"/>
        </w:rPr>
        <w:t>Our outstanding shares of common stock are listed on the NYSE under the symbol "RRC." Any additional common stock we issue will also be listed on the NYSE.</w:t>
      </w:r>
    </w:p>
    <w:p>
      <w:pPr>
        <w:pStyle w:val="TextBody"/>
        <w:bidi w:val="0"/>
        <w:spacing w:before="60" w:after="180"/>
        <w:jc w:val="both"/>
        <w:rPr>
          <w:rFonts w:ascii="Times New Roman" w:hAnsi="Times New Roman"/>
          <w:b/>
          <w:color w:val="000000"/>
          <w:sz w:val="20"/>
        </w:rPr>
      </w:pPr>
      <w:r>
        <w:rPr>
          <w:rFonts w:ascii="Times New Roman" w:hAnsi="Times New Roman"/>
          <w:b/>
          <w:color w:val="000000"/>
          <w:sz w:val="20"/>
        </w:rPr>
        <w:t>Business Combination Under of Delaware Law</w:t>
      </w:r>
    </w:p>
    <w:p>
      <w:pPr>
        <w:pStyle w:val="TextBody"/>
        <w:bidi w:val="0"/>
        <w:spacing w:before="60" w:after="180"/>
        <w:jc w:val="both"/>
        <w:rPr/>
      </w:pPr>
      <w:r>
        <w:rPr/>
        <w:t> </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We are subject to the provisions of Section 203 of the Delaware General Corporation Law. In general, Section 203 prohibits a public Delaware corporation from engaging in a "business combination" with an "interested stockholder" for a period of three years after the date of the transaction in which the person became an interested stockholder, unless: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before that person became an interested stockholder, the corporation’s board of directors approved the transaction in which the interested stockholder or approved the business combination;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b)</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upon completion of the transaction that resulted in the interested stockholder’s becoming an interested stockholder, the interested stockholder owns at least 85% of the voting stock outstanding at the time the transaction commenced (excluding stock held by directors who are also officers of the corporation and by employee stock plans that do not provide employees with the right to determine confidentially whether share held subject to the plan will be tendered in a tender or exchange offer); or</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following the transaction in which that person became an interested stockholder, the business combination is approved by the corporation’s board of directors and authorized at a meeting of stockholders by the affirmative vote of the holders of at least two-thirds of the outstanding voting stock that is not owned by the interested stockholder.</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Under Section 203, these restrictions also do not apply to certain business combinations proposed by an interested stockholder following the announcement or notification of one of certain extraordinary transactions involving the corporation and a person who was not an interested stockholder during the previous three years or who became an interested stockholder with the approval of a majority of the corporation’s directors, if that extraordinary transaction is approved or not opposed by a majority of the directors before any person became an interested stockholder in the previous three years or who were recommended for election or elected to succeed such directors by a majority of such directors then in office. "Business combination" included mergers, assets sales and other transactions resulting in a financial benefit to the stockholder. "Interested stockholder" is a person who, together with affiliates and associates, owns (or, in some cases within three years prior, did own) 15% or more of the corporation’s voting stock.</w:t>
      </w:r>
    </w:p>
    <w:p>
      <w:pPr>
        <w:pStyle w:val="TextBody"/>
        <w:bidi w:val="0"/>
        <w:spacing w:before="180" w:after="180"/>
        <w:jc w:val="both"/>
        <w:rPr/>
      </w:pPr>
      <w:r>
        <w:rPr/>
        <w:t> </w:t>
      </w:r>
    </w:p>
    <w:p>
      <w:pPr>
        <w:pStyle w:val="TextBody"/>
        <w:bidi w:val="0"/>
        <w:spacing w:before="0" w:after="180"/>
        <w:jc w:val="both"/>
        <w:rPr>
          <w:rFonts w:ascii="Times New Roman" w:hAnsi="Times New Roman"/>
          <w:b/>
          <w:color w:val="000000"/>
          <w:sz w:val="20"/>
        </w:rPr>
      </w:pPr>
      <w:r>
        <w:rPr>
          <w:rFonts w:ascii="Times New Roman" w:hAnsi="Times New Roman"/>
          <w:b/>
          <w:color w:val="000000"/>
          <w:sz w:val="20"/>
        </w:rPr>
        <w:t>Anti-Takeover Provisions of our Certificate of Incorporation and Bylaws</w:t>
      </w:r>
    </w:p>
    <w:p>
      <w:pPr>
        <w:pStyle w:val="TextBody"/>
        <w:bidi w:val="0"/>
        <w:spacing w:before="0" w:after="180"/>
        <w:jc w:val="both"/>
        <w:rPr/>
      </w:pPr>
      <w:r>
        <w:rPr/>
        <w:t> </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The provisions of our certificate of incorporation and bylaws we summarize below may have an anti-takeover effect and may delay, defer or prevent a tender offer or takeover attempt that a shareholder might consider in his or her best interest, including those attempts that might result in a premium over the market price for our common stock.</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Any action by our stockholders must be taken at an annual or special meeting of stockholders. Special meetings of the stockholders may be called at any time by the Chairman of the Board, the President or the Board, and shall be called by the Chairman of the Board, the President, a Vice President or the Secretary on the written request stockholders owning at least a majority in amount of the entire capital stock of the Corporation issued and outstanding and entitled to vote.</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 xml:space="preserve">Additionally, our certificate of incorporation and bylaws provide that stockholders seeking to present proposals before a meeting of stockholders or to nominate candidates for election as directors at a meeting of stockholders must provide timely notice in writing, and also specify requirements as to the form of the stockholder's notice. Our bylaws further provide that a stockholder, or group of not more than 20 stockholders, who has owned continuously for at least three years shares of common stock representing an aggregate of at least 3% of the Company's outstanding shares of common stock, may nominate and include in the Company's proxy materials director nominees not to exceed the greater of (i) two and (ii) 20% of the Company's board of directors in office as of the proxy access notice date, provided that the stockholder(s) and nominee(s) otherwise satisfy the requirements in the bylaws. </w:t>
      </w:r>
    </w:p>
    <w:p>
      <w:pPr>
        <w:pStyle w:val="TextBody"/>
        <w:bidi w:val="0"/>
        <w:spacing w:before="0" w:after="180"/>
        <w:jc w:val="both"/>
        <w:rPr/>
      </w:pPr>
      <w:r>
        <w:rPr/>
        <w:t> </w:t>
      </w:r>
    </w:p>
    <w:p>
      <w:pPr>
        <w:pStyle w:val="TextBody"/>
        <w:bidi w:val="0"/>
        <w:spacing w:before="0" w:after="180"/>
        <w:jc w:val="both"/>
        <w:rPr>
          <w:rFonts w:ascii="Times New Roman" w:hAnsi="Times New Roman"/>
          <w:b/>
          <w:color w:val="000000"/>
          <w:sz w:val="20"/>
        </w:rPr>
      </w:pPr>
      <w:r>
        <w:rPr>
          <w:rFonts w:ascii="Times New Roman" w:hAnsi="Times New Roman"/>
          <w:b/>
          <w:color w:val="000000"/>
          <w:sz w:val="20"/>
        </w:rPr>
        <w:t>Transfer Agent and Registrar</w:t>
      </w:r>
    </w:p>
    <w:p>
      <w:pPr>
        <w:pStyle w:val="TextBody"/>
        <w:bidi w:val="0"/>
        <w:spacing w:before="0" w:after="180"/>
        <w:jc w:val="both"/>
        <w:rPr/>
      </w:pPr>
      <w:r>
        <w:rPr/>
        <w:t> </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Computershare Investor Services, L.L.C. is the transfer agent and registrar for our common stock.</w:t>
      </w:r>
    </w:p>
    <w:p>
      <w:pPr>
        <w:pStyle w:val="TextBody"/>
        <w:bidi w:val="0"/>
        <w:spacing w:before="0" w:after="180"/>
        <w:jc w:val="both"/>
        <w:rPr/>
      </w:pPr>
      <w:r>
        <w:rPr/>
        <w:t> </w:t>
      </w:r>
    </w:p>
    <w:p>
      <w:pPr>
        <w:pStyle w:val="TextBody"/>
        <w:bidi w:val="0"/>
        <w:spacing w:before="0" w:after="180"/>
        <w:jc w:val="both"/>
        <w:rPr>
          <w:rFonts w:ascii="Times New Roman" w:hAnsi="Times New Roman"/>
          <w:b/>
          <w:color w:val="000000"/>
          <w:sz w:val="20"/>
        </w:rPr>
      </w:pPr>
      <w:r>
        <w:rPr>
          <w:rFonts w:ascii="Times New Roman" w:hAnsi="Times New Roman"/>
          <w:b/>
          <w:color w:val="000000"/>
          <w:sz w:val="20"/>
        </w:rPr>
        <w:t>Quotation of Common Stock</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both"/>
        <w:rPr/>
      </w:pPr>
      <w:r>
        <w:rPr/>
        <w:t> </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Our common stock is traded on the NYSE under the symbol "RRC."</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Times New Roman" w:hAnsi="Times New Roman"/>
          <w:b/>
          <w:color w:val="000000"/>
          <w:sz w:val="20"/>
        </w:rPr>
      </w:pPr>
      <w:bookmarkStart w:id="89" w:name="rrc-ex21.htm"/>
      <w:bookmarkStart w:id="90" w:name="ksrrcex21"/>
      <w:bookmarkEnd w:id="89"/>
      <w:bookmarkEnd w:id="90"/>
      <w:r>
        <w:rPr>
          <w:rFonts w:ascii="Times New Roman" w:hAnsi="Times New Roman"/>
          <w:b/>
          <w:color w:val="000000"/>
          <w:sz w:val="20"/>
        </w:rPr>
        <w:t>EXHIBIT 21</w:t>
      </w:r>
      <w:r>
        <w:br w:type="page"/>
      </w:r>
    </w:p>
    <w:p>
      <w:pPr>
        <w:pStyle w:val="TextBody"/>
        <w:bidi w:val="0"/>
        <w:spacing w:before="320" w:after="180"/>
        <w:jc w:val="center"/>
        <w:rPr>
          <w:rFonts w:ascii="Times New Roman" w:hAnsi="Times New Roman"/>
          <w:b/>
          <w:color w:val="000000"/>
          <w:sz w:val="20"/>
        </w:rPr>
      </w:pPr>
      <w:r>
        <w:rPr>
          <w:rFonts w:ascii="Times New Roman" w:hAnsi="Times New Roman"/>
          <w:b/>
          <w:color w:val="000000"/>
          <w:sz w:val="20"/>
        </w:rPr>
        <w:t>RANGE RESOURCES CORPORATION</w:t>
      </w:r>
    </w:p>
    <w:p>
      <w:pPr>
        <w:pStyle w:val="TextBody"/>
        <w:bidi w:val="0"/>
        <w:spacing w:before="0" w:after="360"/>
        <w:jc w:val="center"/>
        <w:rPr>
          <w:rFonts w:ascii="Times New Roman" w:hAnsi="Times New Roman"/>
          <w:b/>
          <w:color w:val="000000"/>
          <w:sz w:val="20"/>
        </w:rPr>
      </w:pPr>
      <w:r>
        <w:rPr>
          <w:rFonts w:ascii="Times New Roman" w:hAnsi="Times New Roman"/>
          <w:b/>
          <w:color w:val="000000"/>
          <w:sz w:val="20"/>
        </w:rPr>
        <w:t>Subsidiaries of Registrant</w:t>
      </w:r>
    </w:p>
    <w:tbl>
      <w:tblPr>
        <w:tblW w:w="6685" w:type="dxa"/>
        <w:jc w:val="left"/>
        <w:tblInd w:w="0" w:type="dxa"/>
        <w:tblLayout w:type="fixed"/>
        <w:tblCellMar>
          <w:top w:w="28" w:type="dxa"/>
          <w:left w:w="28" w:type="dxa"/>
          <w:bottom w:w="28" w:type="dxa"/>
          <w:right w:w="28" w:type="dxa"/>
        </w:tblCellMar>
      </w:tblPr>
      <w:tblGrid>
        <w:gridCol w:w="3391"/>
        <w:gridCol w:w="146"/>
        <w:gridCol w:w="1261"/>
        <w:gridCol w:w="146"/>
        <w:gridCol w:w="174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r>
      <w:tr>
        <w:trPr/>
        <w:tc>
          <w:tcPr>
            <w:tcW w:w="33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4" w:space="0" w:color="000000"/>
            </w:tcBorders>
            <w:tcMar>
              <w:top w:w="0" w:type="dxa"/>
              <w:left w:w="0" w:type="dxa"/>
              <w:right w:w="0" w:type="dxa"/>
            </w:tcMar>
            <w:vAlign w:val="center"/>
          </w:tcPr>
          <w:p>
            <w:pPr>
              <w:pStyle w:val="TableContents"/>
              <w:bidi w:val="0"/>
              <w:jc w:val="left"/>
              <w:rPr>
                <w:rFonts w:ascii="Times New Roman" w:hAnsi="Times New Roman"/>
                <w:sz w:val="18"/>
              </w:rPr>
            </w:pPr>
            <w:r>
              <w:rPr>
                <w:rFonts w:ascii="Times New Roman" w:hAnsi="Times New Roman"/>
                <w:b/>
                <w:color w:val="000000"/>
                <w:sz w:val="18"/>
              </w:rPr>
              <w:t>Jurisdiction of</w:t>
            </w:r>
            <w:r>
              <w:rPr>
                <w:rFonts w:ascii="Times New Roman" w:hAnsi="Times New Roman"/>
                <w:color w:val="000000"/>
                <w:sz w:val="18"/>
              </w:rPr>
              <w:t xml:space="preserve"> </w:t>
            </w:r>
          </w:p>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Incorporation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741" w:type="dxa"/>
            <w:tcBorders>
              <w:bottom w:val="single" w:sz="4" w:space="0" w:color="000000"/>
            </w:tcBorders>
            <w:tcMar>
              <w:top w:w="0" w:type="dxa"/>
              <w:left w:w="0" w:type="dxa"/>
              <w:right w:w="0" w:type="dxa"/>
            </w:tcMar>
            <w:vAlign w:val="center"/>
          </w:tcPr>
          <w:p>
            <w:pPr>
              <w:pStyle w:val="TableContents"/>
              <w:bidi w:val="0"/>
              <w:jc w:val="left"/>
              <w:rPr>
                <w:rFonts w:ascii="Times New Roman" w:hAnsi="Times New Roman"/>
                <w:b/>
                <w:color w:val="000000"/>
                <w:sz w:val="18"/>
              </w:rPr>
            </w:pPr>
            <w:r>
              <w:rPr>
                <w:rFonts w:ascii="Times New Roman" w:hAnsi="Times New Roman"/>
                <w:b/>
                <w:color w:val="000000"/>
                <w:sz w:val="18"/>
              </w:rPr>
              <w:t>Percentage of Voting</w:t>
            </w:r>
          </w:p>
          <w:p>
            <w:pPr>
              <w:pStyle w:val="TableContents"/>
              <w:bidi w:val="0"/>
              <w:jc w:val="left"/>
              <w:rPr>
                <w:rFonts w:ascii="Times New Roman" w:hAnsi="Times New Roman"/>
                <w:b/>
                <w:color w:val="000000"/>
                <w:sz w:val="18"/>
              </w:rPr>
            </w:pPr>
            <w:r>
              <w:rPr>
                <w:rFonts w:ascii="Times New Roman" w:hAnsi="Times New Roman"/>
                <w:b/>
                <w:color w:val="000000"/>
                <w:sz w:val="18"/>
              </w:rPr>
              <w:t>Securities Owned by</w:t>
            </w:r>
          </w:p>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Immediate Parent</w:t>
            </w:r>
          </w:p>
        </w:tc>
      </w:tr>
      <w:tr>
        <w:trPr/>
        <w:tc>
          <w:tcPr>
            <w:tcW w:w="3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Range Resources—Appalachia,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100%</w:t>
            </w:r>
          </w:p>
        </w:tc>
      </w:tr>
      <w:tr>
        <w:trPr/>
        <w:tc>
          <w:tcPr>
            <w:tcW w:w="33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Range Resources—Pine Mountain,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100%</w:t>
            </w:r>
          </w:p>
        </w:tc>
      </w:tr>
      <w:tr>
        <w:trPr/>
        <w:tc>
          <w:tcPr>
            <w:tcW w:w="33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Range Production Company,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100%</w:t>
            </w:r>
          </w:p>
        </w:tc>
      </w:tr>
      <w:tr>
        <w:trPr/>
        <w:tc>
          <w:tcPr>
            <w:tcW w:w="33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Range Resources—Midcontinent,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100%</w:t>
            </w:r>
          </w:p>
        </w:tc>
      </w:tr>
      <w:tr>
        <w:trPr/>
        <w:tc>
          <w:tcPr>
            <w:tcW w:w="33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Range Resources—Louisiana,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100%</w:t>
            </w:r>
          </w:p>
        </w:tc>
      </w:tr>
      <w:tr>
        <w:trPr/>
        <w:tc>
          <w:tcPr>
            <w:tcW w:w="3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Times New Roman" w:hAnsi="Times New Roman"/>
          <w:b/>
          <w:color w:val="000000"/>
          <w:sz w:val="20"/>
        </w:rPr>
      </w:pPr>
      <w:bookmarkStart w:id="91" w:name="rrc-ex22.htm"/>
      <w:bookmarkStart w:id="92" w:name="ksrrcex22"/>
      <w:bookmarkEnd w:id="91"/>
      <w:bookmarkEnd w:id="92"/>
      <w:r>
        <w:rPr>
          <w:rFonts w:ascii="Times New Roman" w:hAnsi="Times New Roman"/>
          <w:b/>
          <w:color w:val="000000"/>
          <w:sz w:val="20"/>
        </w:rPr>
        <w:t>EXHIBIT 22</w:t>
      </w:r>
      <w:r>
        <w:br w:type="page"/>
      </w:r>
    </w:p>
    <w:p>
      <w:pPr>
        <w:pStyle w:val="TextBody"/>
        <w:bidi w:val="0"/>
        <w:spacing w:before="0" w:after="160"/>
        <w:jc w:val="right"/>
        <w:rPr/>
      </w:pPr>
      <w:r>
        <w:rPr/>
        <w:t> </w:t>
      </w:r>
    </w:p>
    <w:p>
      <w:pPr>
        <w:pStyle w:val="TextBody"/>
        <w:bidi w:val="0"/>
        <w:spacing w:before="0" w:after="160"/>
        <w:jc w:val="center"/>
        <w:rPr>
          <w:rFonts w:ascii="Times New Roman" w:hAnsi="Times New Roman"/>
          <w:b/>
          <w:color w:val="000000"/>
          <w:sz w:val="24"/>
        </w:rPr>
      </w:pPr>
      <w:r>
        <w:rPr>
          <w:rFonts w:ascii="Times New Roman" w:hAnsi="Times New Roman"/>
          <w:b/>
          <w:color w:val="000000"/>
          <w:sz w:val="24"/>
        </w:rPr>
        <w:t>List of Subsidiary Guarantors</w:t>
      </w:r>
    </w:p>
    <w:p>
      <w:pPr>
        <w:pStyle w:val="TextBody"/>
        <w:bidi w:val="0"/>
        <w:spacing w:before="0" w:after="160"/>
        <w:jc w:val="center"/>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The following sets forth the subsidiary guarantors of our 8.25% senior notes due 2029 and our 4.75% senior notes due 2030 as of December 31, 2025. </w:t>
      </w:r>
    </w:p>
    <w:tbl>
      <w:tblPr>
        <w:tblW w:w="5109" w:type="dxa"/>
        <w:jc w:val="left"/>
        <w:tblInd w:w="0" w:type="dxa"/>
        <w:tblLayout w:type="fixed"/>
        <w:tblCellMar>
          <w:top w:w="28" w:type="dxa"/>
          <w:left w:w="28" w:type="dxa"/>
          <w:bottom w:w="28" w:type="dxa"/>
          <w:right w:w="28" w:type="dxa"/>
        </w:tblCellMar>
      </w:tblPr>
      <w:tblGrid>
        <w:gridCol w:w="3391"/>
        <w:gridCol w:w="146"/>
        <w:gridCol w:w="1381"/>
        <w:gridCol w:w="19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91" w:type="dxa"/>
            <w:tcBorders>
              <w:bottom w:val="single" w:sz="4" w:space="0" w:color="000000"/>
            </w:tcBorders>
            <w:tcMar>
              <w:top w:w="0" w:type="dxa"/>
              <w:left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Subsidiary Guarantor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1" w:type="dxa"/>
            <w:tcBorders>
              <w:bottom w:val="single" w:sz="4" w:space="0" w:color="000000"/>
            </w:tcBorders>
            <w:tcMar>
              <w:top w:w="0" w:type="dxa"/>
              <w:left w:w="0" w:type="dxa"/>
              <w:right w:w="0" w:type="dxa"/>
            </w:tcMar>
            <w:vAlign w:val="center"/>
          </w:tcPr>
          <w:p>
            <w:pPr>
              <w:pStyle w:val="TableContents"/>
              <w:bidi w:val="0"/>
              <w:jc w:val="center"/>
              <w:rPr/>
            </w:pPr>
            <w:r>
              <w:rPr/>
              <w:t> </w:t>
            </w:r>
          </w:p>
          <w:p>
            <w:pPr>
              <w:pStyle w:val="TableContents"/>
              <w:bidi w:val="0"/>
              <w:jc w:val="center"/>
              <w:rPr>
                <w:rFonts w:ascii="Times New Roman" w:hAnsi="Times New Roman"/>
                <w:sz w:val="20"/>
              </w:rPr>
            </w:pPr>
            <w:r>
              <w:rPr>
                <w:rFonts w:ascii="Times New Roman" w:hAnsi="Times New Roman"/>
                <w:b/>
                <w:color w:val="000000"/>
                <w:sz w:val="20"/>
              </w:rPr>
              <w:t>Jurisdiction of</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Incorporation</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Range Resources—Pine Mountain,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Delaware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Range Resources—Louisiana, Inc.</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Delaware</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Range Resources—Appalachia, LLC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Delaware</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Range Production Company, LLC</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Delaware</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Range Resources—Midcontinent, LLC</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Delaware</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93" w:name="rrc-ex23_1.htm"/>
      <w:bookmarkStart w:id="94" w:name="ksrrcex23_1"/>
      <w:bookmarkEnd w:id="93"/>
      <w:bookmarkEnd w:id="94"/>
      <w:r>
        <w:rPr>
          <w:rFonts w:ascii="Times New Roman" w:hAnsi="Times New Roman"/>
          <w:b/>
          <w:color w:val="000000"/>
          <w:sz w:val="20"/>
        </w:rPr>
        <w:t>EXHIBIT 23.1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consent to the incorporation by reference in the following Registration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Registration Statement (Form S-3 No. 333-279457) of Range Resources Corporation,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Registration Statements (Form S-8 Nos. 333-266336, 333-256098 and 333-251268) pertaining to the Amended and Restated 2019 Equity-Based Compensation Plan of Range Resources Corporation,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Registration Statement (Form S-8 No. 333-231834) pertaining to the 2019 Equity-Based Compensation Plan of Range Resources Corporation,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Registration Statements (Form S-8 Nos. 333-159951, 333-167199 and 333-175098) pertaining to the Range Resources Corporation Amended and Restated 2005 Equity-Based Compensation Plan of Range Resources Corporation,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Registration Statements (Form S-8 Nos. 333-251267, 333-209830 and 333-233391) pertaining to the Amended and Restated Range Resources Corporation 2004 Deferred Compensation Plan for Directors and Select Employees of Range Resources Corporation;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of our reports dated February 24, 2026, with respect to the consolidated financial statements of Range Resources Corporation and the effectiveness of internal control over financial reporting of Range Resources Corporation included in this Annual Report (Form 10-K) of Range Resources Corporation for the year ended December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 Ernst &amp; Young LLP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Fort Worth, Texas</w:t>
      </w:r>
    </w:p>
    <w:p>
      <w:pPr>
        <w:pStyle w:val="TextBody"/>
        <w:bidi w:val="0"/>
        <w:jc w:val="left"/>
        <w:rPr>
          <w:rFonts w:ascii="Times New Roman" w:hAnsi="Times New Roman"/>
          <w:color w:val="000000"/>
          <w:sz w:val="20"/>
        </w:rPr>
      </w:pPr>
      <w:r>
        <w:rPr>
          <w:rFonts w:ascii="Times New Roman" w:hAnsi="Times New Roman"/>
          <w:color w:val="000000"/>
          <w:sz w:val="20"/>
        </w:rPr>
        <w:t>February 24, 2026</w:t>
      </w:r>
    </w:p>
    <w:p>
      <w:pPr>
        <w:pStyle w:val="TextBody"/>
        <w:bidi w:val="0"/>
        <w:spacing w:before="0" w:after="20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95" w:name="rrc-ex23_2.htm"/>
      <w:bookmarkStart w:id="96" w:name="ksrrcex23_2"/>
      <w:bookmarkEnd w:id="95"/>
      <w:bookmarkEnd w:id="96"/>
      <w:r>
        <w:rPr>
          <w:rFonts w:ascii="Times New Roman" w:hAnsi="Times New Roman"/>
          <w:b/>
          <w:color w:val="000000"/>
          <w:sz w:val="20"/>
        </w:rPr>
        <w:t>EXHIBIT 23.2</w:t>
      </w:r>
      <w:r>
        <w:br w:type="page"/>
      </w:r>
    </w:p>
    <w:p>
      <w:pPr>
        <w:pStyle w:val="TextBody"/>
        <w:bidi w:val="0"/>
        <w:spacing w:before="480" w:after="180"/>
        <w:jc w:val="center"/>
        <w:rPr>
          <w:rFonts w:ascii="Times New Roman" w:hAnsi="Times New Roman"/>
          <w:color w:val="000000"/>
          <w:sz w:val="21"/>
          <w:u w:val="single"/>
        </w:rPr>
      </w:pPr>
      <w:r>
        <w:rPr>
          <w:rFonts w:ascii="Times New Roman" w:hAnsi="Times New Roman"/>
          <w:color w:val="000000"/>
          <w:sz w:val="21"/>
          <w:u w:val="single"/>
        </w:rPr>
        <w:t>CONSENT OF INDEPENDENT PETROLEUM ENGINEERS AND GEOLOGISTS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hereby consent to the incorporation, by reference, in the Registration Statements on Form S-3 (No. 333-279457) of Range Resources Corporation, on Form S-8 (Nos. 333-266336, 333-256098, and 333-251268) pertaining to the Amended and Restated 2019 Equity-Based Compensation Plan of Range Resources Corporation, on Form S-8 (No. 333-231834) pertaining to the 2019 Equity-Based Compensation Plan of Range Resources Corporation, on Form S-8 (Nos. 333-159951, 333-167199, and 333-175098) pertaining to the Range Resources Corporation Amended and Restated Range Resources Corporation 2005 Equity-Based Compensation Plan, and on Form S-8 (Nos. 333-251267, 333-209830, and 333-233391) pertaining to the Range Resources Corporation 2004 Deferred Compensation Plan for Directors and Select Employees, of our report dated January 21, 2026, with respect to our audit of estimates of proved reserves and future net revenue to the Range Resources Corporation interest, prepared for Range Resources Corporation and included in the Range Resources Corporation Annual Report (Form 10-K) for the year ended December 31, 2025.</w:t>
      </w:r>
    </w:p>
    <w:p>
      <w:pPr>
        <w:pStyle w:val="TextBody"/>
        <w:bidi w:val="0"/>
        <w:jc w:val="left"/>
        <w:rPr/>
      </w:pPr>
      <w:r>
        <w:rPr/>
        <w:t> </w:t>
      </w:r>
    </w:p>
    <w:p>
      <w:pPr>
        <w:pStyle w:val="TextBody"/>
        <w:bidi w:val="0"/>
        <w:jc w:val="left"/>
        <w:rPr/>
      </w:pPr>
      <w:r>
        <w:rPr/>
        <w:t> </w:t>
      </w:r>
    </w:p>
    <w:tbl>
      <w:tblPr>
        <w:tblW w:w="7258" w:type="dxa"/>
        <w:jc w:val="left"/>
        <w:tblInd w:w="0" w:type="dxa"/>
        <w:tblLayout w:type="fixed"/>
        <w:tblCellMar>
          <w:top w:w="28" w:type="dxa"/>
          <w:left w:w="28" w:type="dxa"/>
          <w:bottom w:w="28" w:type="dxa"/>
          <w:right w:w="28" w:type="dxa"/>
        </w:tblCellMar>
      </w:tblPr>
      <w:tblGrid>
        <w:gridCol w:w="1606"/>
        <w:gridCol w:w="406"/>
        <w:gridCol w:w="5246"/>
      </w:tblGrid>
      <w:tr>
        <w:trPr/>
        <w:tc>
          <w:tcPr>
            <w:tcW w:w="16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246" w:type="dxa"/>
            <w:tcBorders/>
            <w:vAlign w:val="center"/>
          </w:tcPr>
          <w:p>
            <w:pPr>
              <w:pStyle w:val="TableContents"/>
              <w:bidi w:val="0"/>
              <w:spacing w:before="0" w:after="283"/>
              <w:jc w:val="left"/>
              <w:rPr>
                <w:sz w:val="4"/>
                <w:szCs w:val="4"/>
              </w:rPr>
            </w:pPr>
            <w:r>
              <w:rPr>
                <w:sz w:val="4"/>
                <w:szCs w:val="4"/>
              </w:rPr>
            </w:r>
          </w:p>
        </w:tc>
      </w:tr>
      <w:tr>
        <w:trPr/>
        <w:tc>
          <w:tcPr>
            <w:tcW w:w="16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4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ind w:left="0" w:right="0" w:firstLine="100"/>
              <w:jc w:val="left"/>
              <w:rPr>
                <w:rFonts w:ascii="Times New Roman" w:hAnsi="Times New Roman"/>
                <w:b/>
                <w:color w:val="000000"/>
                <w:sz w:val="22"/>
              </w:rPr>
            </w:pPr>
            <w:r>
              <w:rPr>
                <w:rFonts w:ascii="Times New Roman" w:hAnsi="Times New Roman"/>
                <w:b/>
                <w:color w:val="000000"/>
                <w:sz w:val="22"/>
              </w:rPr>
              <w:t>NETHERLAND, SEWELL &amp; ASSOCIATES, INC.</w:t>
            </w:r>
          </w:p>
        </w:tc>
      </w:tr>
      <w:tr>
        <w:trPr/>
        <w:tc>
          <w:tcPr>
            <w:tcW w:w="1606" w:type="dxa"/>
            <w:tcBorders/>
            <w:tcMar>
              <w:top w:w="0" w:type="dxa"/>
              <w:left w:w="0" w:type="dxa"/>
              <w:bottom w:w="0" w:type="dxa"/>
              <w:right w:w="0" w:type="dxa"/>
            </w:tcMar>
            <w:vAlign w:val="center"/>
          </w:tcPr>
          <w:p>
            <w:pPr>
              <w:pStyle w:val="TableContents"/>
              <w:bidi w:val="0"/>
              <w:spacing w:before="0" w:after="283"/>
              <w:ind w:left="0" w:right="0" w:firstLine="100"/>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By:</w:t>
            </w:r>
          </w:p>
        </w:tc>
        <w:tc>
          <w:tcPr>
            <w:tcW w:w="5246" w:type="dxa"/>
            <w:tcBorders>
              <w:bottom w:val="single" w:sz="4" w:space="0" w:color="000000"/>
            </w:tcBorders>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 Eric J. Stevens</w:t>
            </w:r>
          </w:p>
        </w:tc>
      </w:tr>
      <w:tr>
        <w:trPr/>
        <w:tc>
          <w:tcPr>
            <w:tcW w:w="1606" w:type="dxa"/>
            <w:tcBorders/>
            <w:tcMar>
              <w:top w:w="0" w:type="dxa"/>
              <w:left w:w="0" w:type="dxa"/>
              <w:bottom w:w="0" w:type="dxa"/>
              <w:right w:w="0" w:type="dxa"/>
            </w:tcMar>
            <w:vAlign w:val="center"/>
          </w:tcPr>
          <w:p>
            <w:pPr>
              <w:pStyle w:val="TableContents"/>
              <w:bidi w:val="0"/>
              <w:spacing w:before="0" w:after="283"/>
              <w:ind w:left="0" w:right="0" w:firstLine="100"/>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right"/>
              <w:rPr/>
            </w:pPr>
            <w:r>
              <w:rPr/>
              <w:t> </w:t>
            </w:r>
          </w:p>
        </w:tc>
        <w:tc>
          <w:tcPr>
            <w:tcW w:w="52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Eric J. Stevens, P.E.</w:t>
            </w:r>
          </w:p>
        </w:tc>
      </w:tr>
      <w:tr>
        <w:trPr/>
        <w:tc>
          <w:tcPr>
            <w:tcW w:w="16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6" w:type="dxa"/>
            <w:tcBorders/>
            <w:tcMar>
              <w:top w:w="0" w:type="dxa"/>
              <w:left w:w="0" w:type="dxa"/>
              <w:bottom w:w="0" w:type="dxa"/>
              <w:right w:w="0" w:type="dxa"/>
            </w:tcMar>
            <w:vAlign w:val="center"/>
          </w:tcPr>
          <w:p>
            <w:pPr>
              <w:pStyle w:val="TableContents"/>
              <w:bidi w:val="0"/>
              <w:spacing w:before="0" w:after="283"/>
              <w:jc w:val="right"/>
              <w:rPr/>
            </w:pPr>
            <w:r>
              <w:rPr/>
              <w:t> </w:t>
            </w:r>
          </w:p>
        </w:tc>
        <w:tc>
          <w:tcPr>
            <w:tcW w:w="52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Operating Officer</w:t>
            </w:r>
          </w:p>
        </w:tc>
      </w:tr>
      <w:tr>
        <w:trPr/>
        <w:tc>
          <w:tcPr>
            <w:tcW w:w="16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Dallas, Texas</w:t>
            </w:r>
          </w:p>
        </w:tc>
        <w:tc>
          <w:tcPr>
            <w:tcW w:w="406" w:type="dxa"/>
            <w:tcBorders/>
            <w:tcMar>
              <w:top w:w="0" w:type="dxa"/>
              <w:left w:w="0" w:type="dxa"/>
              <w:bottom w:w="0" w:type="dxa"/>
              <w:right w:w="0" w:type="dxa"/>
            </w:tcMar>
            <w:vAlign w:val="center"/>
          </w:tcPr>
          <w:p>
            <w:pPr>
              <w:pStyle w:val="TableContents"/>
              <w:bidi w:val="0"/>
              <w:spacing w:before="0" w:after="283"/>
              <w:jc w:val="right"/>
              <w:rPr/>
            </w:pPr>
            <w:r>
              <w:rPr/>
              <w:t> </w:t>
            </w:r>
          </w:p>
        </w:tc>
        <w:tc>
          <w:tcPr>
            <w:tcW w:w="524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20, 2026</w:t>
            </w:r>
          </w:p>
        </w:tc>
        <w:tc>
          <w:tcPr>
            <w:tcW w:w="406" w:type="dxa"/>
            <w:tcBorders/>
            <w:tcMar>
              <w:top w:w="0" w:type="dxa"/>
              <w:left w:w="0" w:type="dxa"/>
              <w:bottom w:w="0" w:type="dxa"/>
              <w:right w:w="0" w:type="dxa"/>
            </w:tcMar>
            <w:vAlign w:val="center"/>
          </w:tcPr>
          <w:p>
            <w:pPr>
              <w:pStyle w:val="TableContents"/>
              <w:bidi w:val="0"/>
              <w:spacing w:before="0" w:after="283"/>
              <w:jc w:val="right"/>
              <w:rPr/>
            </w:pPr>
            <w:r>
              <w:rPr/>
              <w:t> </w:t>
            </w:r>
          </w:p>
        </w:tc>
        <w:tc>
          <w:tcPr>
            <w:tcW w:w="524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97" w:name="rrc-ex31_1.htm"/>
      <w:bookmarkStart w:id="98" w:name="ksrrcex31_1"/>
      <w:bookmarkEnd w:id="97"/>
      <w:bookmarkEnd w:id="98"/>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31.1</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CHIEF EXECUTIVE OFFICER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Dennis L. Degner,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annual report on Form 10-K of Range Resources Corporation (the "registrant");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938" w:type="dxa"/>
        <w:jc w:val="left"/>
        <w:tblInd w:w="0" w:type="dxa"/>
        <w:tblLayout w:type="fixed"/>
        <w:tblCellMar>
          <w:top w:w="28" w:type="dxa"/>
          <w:left w:w="28" w:type="dxa"/>
          <w:bottom w:w="28" w:type="dxa"/>
          <w:right w:w="28" w:type="dxa"/>
        </w:tblCellMar>
      </w:tblPr>
      <w:tblGrid>
        <w:gridCol w:w="556"/>
        <w:gridCol w:w="1591"/>
        <w:gridCol w:w="2791"/>
      </w:tblGrid>
      <w:tr>
        <w:trPr/>
        <w:tc>
          <w:tcPr>
            <w:tcW w:w="55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24, 2026</w:t>
            </w:r>
          </w:p>
        </w:tc>
        <w:tc>
          <w:tcPr>
            <w:tcW w:w="27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DENNIS L. DEGNER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Dennis L. Degner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Chief Executive Officer and President</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99" w:name="rrc-ex31_2.htm"/>
      <w:bookmarkStart w:id="100" w:name="ksrrcex31_2"/>
      <w:bookmarkEnd w:id="99"/>
      <w:bookmarkEnd w:id="100"/>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31.2</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OF CHIEF FINANCIAL OFFICER</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Mark S. Scucchi,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annual report on Form 10-K of Range Resources Corporation (the "registrant");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003" w:type="dxa"/>
        <w:jc w:val="left"/>
        <w:tblInd w:w="0" w:type="dxa"/>
        <w:tblLayout w:type="fixed"/>
        <w:tblCellMar>
          <w:top w:w="28" w:type="dxa"/>
          <w:left w:w="28" w:type="dxa"/>
          <w:bottom w:w="28" w:type="dxa"/>
          <w:right w:w="28" w:type="dxa"/>
        </w:tblCellMar>
      </w:tblPr>
      <w:tblGrid>
        <w:gridCol w:w="556"/>
        <w:gridCol w:w="1591"/>
        <w:gridCol w:w="3856"/>
      </w:tblGrid>
      <w:tr>
        <w:trPr/>
        <w:tc>
          <w:tcPr>
            <w:tcW w:w="55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385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24, 2026</w:t>
            </w:r>
          </w:p>
        </w:tc>
        <w:tc>
          <w:tcPr>
            <w:tcW w:w="38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/s/ MARK S. SCUCCHI</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Mark S. Scucchi</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Executive Vice President and Chief Financial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101" w:name="rrc-ex32_1.htm"/>
      <w:bookmarkStart w:id="102" w:name="ksrrcex32_1"/>
      <w:bookmarkEnd w:id="101"/>
      <w:bookmarkEnd w:id="10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OF</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PRESIDENT AND CHIEF EXECUTIVE OFFICER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OF RANGE RESOURCES CORPORATION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PURSUANT TO 18 U.S.C. SECTION 1350 AS ADOPTED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PURSUANT TO 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Annual Report on Form 10-K for the period ending December 31, 2025 and filed with the Securities and Exchange Commission on the date hereof (the "Report") and pursuant to 18 U.S.C. Section 1350, as adopted pursuant to Section 906 of the Sarbanes-Oxley Act of 2002, I, Dennis L. Degner, Chief Executive Officer and President of Range Resources Corporation (the "Company"), hereby certify that, to my knowledge: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Report fully complies with the requirements of Section 13(a) or 15(d) of the Securities Exchange Act of 1934;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results of operations of the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signed original of this written statement required by Section 906 has been provided to the Company and will be retained by the Company and furnished to the Securities and Exchange Commission or its staff upon request. </w:t>
      </w:r>
    </w:p>
    <w:p>
      <w:pPr>
        <w:pStyle w:val="TextBody"/>
        <w:bidi w:val="0"/>
        <w:jc w:val="left"/>
        <w:rPr/>
      </w:pPr>
      <w:r>
        <w:rPr/>
        <w:t> </w:t>
      </w:r>
    </w:p>
    <w:tbl>
      <w:tblPr>
        <w:tblW w:w="2683" w:type="dxa"/>
        <w:jc w:val="left"/>
        <w:tblInd w:w="0" w:type="dxa"/>
        <w:tblLayout w:type="fixed"/>
        <w:tblCellMar>
          <w:top w:w="28" w:type="dxa"/>
          <w:left w:w="28" w:type="dxa"/>
          <w:bottom w:w="28" w:type="dxa"/>
          <w:right w:w="28" w:type="dxa"/>
        </w:tblCellMar>
      </w:tblPr>
      <w:tblGrid>
        <w:gridCol w:w="421"/>
        <w:gridCol w:w="146"/>
        <w:gridCol w:w="2116"/>
      </w:tblGrid>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DENNIS L. DEGNER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Dennis L. Degner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24, 2026</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103" w:name="rrc-ex32_2.htm"/>
      <w:bookmarkStart w:id="104" w:name="ksrrcex32_2"/>
      <w:bookmarkEnd w:id="103"/>
      <w:bookmarkEnd w:id="104"/>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32.2</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OF</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CHIEF FINANCIAL OFFICER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OF RANGE RESOURCES CORPORATION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PURSUANT TO 18 U.S.C. SECTION 1350 AS ADOPTED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PURSUANT TO 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Annual Report on Form 10-K for the period ending December 31, 2025 and filed with the Securities and Exchange Commission on the date hereof (the "Report") and pursuant to 18 U.S.C. Section 1350, as adopted pursuant to Section 906 of the Sarbanes-Oxley Act of 2002, I, Mark S. Scucchi, Chief Financial Officer of Range Resources Corporation (the "Company"), hereby certify that, to my knowledge: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Report fully complies with the requirements of Section 13(a) or 15(d) of the Securities Exchange Act of 1934;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results of operations of the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signed original of this written statement required by Section 906 has been provided to the Company and will be retained by the Company and furnished to the Securities and Exchange Commission or its staff upon request. </w:t>
      </w:r>
    </w:p>
    <w:p>
      <w:pPr>
        <w:pStyle w:val="TextBody"/>
        <w:bidi w:val="0"/>
        <w:jc w:val="left"/>
        <w:rPr/>
      </w:pPr>
      <w:r>
        <w:rPr/>
        <w:t> </w:t>
      </w:r>
    </w:p>
    <w:tbl>
      <w:tblPr>
        <w:tblW w:w="2623" w:type="dxa"/>
        <w:jc w:val="left"/>
        <w:tblInd w:w="0" w:type="dxa"/>
        <w:tblLayout w:type="fixed"/>
        <w:tblCellMar>
          <w:top w:w="28" w:type="dxa"/>
          <w:left w:w="28" w:type="dxa"/>
          <w:bottom w:w="28" w:type="dxa"/>
          <w:right w:w="28" w:type="dxa"/>
        </w:tblCellMar>
      </w:tblPr>
      <w:tblGrid>
        <w:gridCol w:w="421"/>
        <w:gridCol w:w="146"/>
        <w:gridCol w:w="2056"/>
      </w:tblGrid>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MARK S. SCUCCHI</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Mark S. Scucchi</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24, 2026</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right"/>
        <w:rPr>
          <w:rFonts w:ascii="Arial" w:hAnsi="Arial"/>
          <w:b/>
          <w:color w:val="000000"/>
          <w:sz w:val="20"/>
        </w:rPr>
      </w:pPr>
      <w:bookmarkStart w:id="105" w:name="rrc-ex99_1.htm"/>
      <w:bookmarkStart w:id="106" w:name="ksrrcex99_1"/>
      <w:bookmarkEnd w:id="105"/>
      <w:bookmarkEnd w:id="106"/>
      <w:r>
        <w:rPr>
          <w:rFonts w:ascii="Arial" w:hAnsi="Arial"/>
          <w:b/>
          <w:color w:val="000000"/>
          <w:sz w:val="20"/>
        </w:rPr>
        <w:t>Exhibit 99.1</w:t>
      </w:r>
      <w:r>
        <w:br w:type="page"/>
      </w:r>
    </w:p>
    <w:p>
      <w:pPr>
        <w:pStyle w:val="TextBody"/>
        <w:bidi w:val="0"/>
        <w:jc w:val="both"/>
        <w:rPr/>
      </w:pPr>
      <w:r>
        <w:rPr/>
        <w:t> </w:t>
      </w:r>
    </w:p>
    <w:p>
      <w:pPr>
        <w:pStyle w:val="TextBody"/>
        <w:bidi w:val="0"/>
        <w:jc w:val="center"/>
        <w:rPr>
          <w:rFonts w:ascii="Arial" w:hAnsi="Arial"/>
          <w:color w:val="000000"/>
          <w:sz w:val="20"/>
        </w:rPr>
      </w:pPr>
      <w:r>
        <w:rPr>
          <w:rFonts w:ascii="Arial" w:hAnsi="Arial"/>
          <w:color w:val="000000"/>
          <w:sz w:val="20"/>
        </w:rPr>
        <w:t>January 21, 2026</w:t>
      </w:r>
    </w:p>
    <w:p>
      <w:pPr>
        <w:pStyle w:val="TextBody"/>
        <w:bidi w:val="0"/>
        <w:jc w:val="both"/>
        <w:rPr/>
      </w:pPr>
      <w:r>
        <w:rPr/>
        <w:t>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Mr. Alan Farquharson</w:t>
      </w:r>
    </w:p>
    <w:p>
      <w:pPr>
        <w:pStyle w:val="TextBody"/>
        <w:bidi w:val="0"/>
        <w:jc w:val="both"/>
        <w:rPr>
          <w:rFonts w:ascii="Arial" w:hAnsi="Arial"/>
          <w:color w:val="000000"/>
          <w:sz w:val="20"/>
        </w:rPr>
      </w:pPr>
      <w:r>
        <w:rPr>
          <w:rFonts w:ascii="Arial" w:hAnsi="Arial"/>
          <w:color w:val="000000"/>
          <w:sz w:val="20"/>
        </w:rPr>
        <w:t>Range Resources Corporation</w:t>
      </w:r>
    </w:p>
    <w:p>
      <w:pPr>
        <w:pStyle w:val="TextBody"/>
        <w:bidi w:val="0"/>
        <w:jc w:val="both"/>
        <w:rPr>
          <w:rFonts w:ascii="Arial" w:hAnsi="Arial"/>
          <w:color w:val="000000"/>
          <w:sz w:val="20"/>
        </w:rPr>
      </w:pPr>
      <w:r>
        <w:rPr>
          <w:rFonts w:ascii="Arial" w:hAnsi="Arial"/>
          <w:color w:val="000000"/>
          <w:sz w:val="20"/>
        </w:rPr>
        <w:t>100 Throckmorton Street, Suite 1200</w:t>
      </w:r>
    </w:p>
    <w:p>
      <w:pPr>
        <w:pStyle w:val="TextBody"/>
        <w:bidi w:val="0"/>
        <w:jc w:val="both"/>
        <w:rPr>
          <w:rFonts w:ascii="Arial" w:hAnsi="Arial"/>
          <w:color w:val="000000"/>
          <w:sz w:val="20"/>
        </w:rPr>
      </w:pPr>
      <w:r>
        <w:rPr>
          <w:rFonts w:ascii="Arial" w:hAnsi="Arial"/>
          <w:color w:val="000000"/>
          <w:sz w:val="20"/>
        </w:rPr>
        <w:t>Fort Worth, Texas 76102</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Dear Mr. Farquharson:</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In accordance with your request, we have audited the estimates prepared by Range Resources Corporation (Range), as of December 31, 2025, of the proved reserves and future revenue to the Range interest in certain oil and gas properties located in Pennsylvania. It is our understanding that the proved reserves estimates shown herein constitute approximately 96 percent of all proved reserves owned by Range. We have examined the estimates with respect to reserves quantities, reserves categorization, future producing rates, future net revenue, and the present value of such future net revenue, using the definitions set forth in U.S. Securities and Exchange Commission (SEC) Regulation S-X Rule 4-10(a). The estimates of reserves and future revenue have been prepared in accordance with the definitions and regulations of the SEC and conform to the FASB Accounting Standards Codification Topic 932, Extractive Activities—Oil and Gas, except that per-well overhead expenses and future income taxes are excluded. We completed our audit on or about the date of this letter. This report has been prepared for Range's use in filing with the SEC; in our opinion the assumptions, data, methods, and procedures used in the preparation of this report are appropriate for such purpose.</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following table sets forth Range's estimates of the net reserves and future net revenue, as of December 31, 2025, for the audited properties:</w:t>
      </w:r>
    </w:p>
    <w:p>
      <w:pPr>
        <w:pStyle w:val="TextBody"/>
        <w:bidi w:val="0"/>
        <w:jc w:val="both"/>
        <w:rPr/>
      </w:pPr>
      <w:r>
        <w:rPr/>
        <w:t> </w:t>
      </w:r>
    </w:p>
    <w:tbl>
      <w:tblPr>
        <w:tblW w:w="9616" w:type="dxa"/>
        <w:jc w:val="left"/>
        <w:tblInd w:w="0" w:type="dxa"/>
        <w:tblLayout w:type="fixed"/>
        <w:tblCellMar>
          <w:top w:w="28" w:type="dxa"/>
          <w:left w:w="28" w:type="dxa"/>
          <w:bottom w:w="28" w:type="dxa"/>
          <w:right w:w="28" w:type="dxa"/>
        </w:tblCellMar>
      </w:tblPr>
      <w:tblGrid>
        <w:gridCol w:w="3046"/>
        <w:gridCol w:w="146"/>
        <w:gridCol w:w="856"/>
        <w:gridCol w:w="146"/>
        <w:gridCol w:w="1126"/>
        <w:gridCol w:w="146"/>
        <w:gridCol w:w="1231"/>
        <w:gridCol w:w="146"/>
        <w:gridCol w:w="1231"/>
        <w:gridCol w:w="146"/>
        <w:gridCol w:w="1396"/>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r>
      <w:tr>
        <w:trPr/>
        <w:tc>
          <w:tcPr>
            <w:tcW w:w="30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505" w:type="dxa"/>
            <w:gridSpan w:val="5"/>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Net Reserves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73" w:type="dxa"/>
            <w:gridSpan w:val="3"/>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Future Net Revenue (M$)</w:t>
            </w:r>
          </w:p>
        </w:tc>
      </w:tr>
      <w:tr>
        <w:trPr/>
        <w:tc>
          <w:tcPr>
            <w:tcW w:w="30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top w:val="single" w:sz="4" w:space="0" w:color="000000"/>
            </w:tcBorders>
            <w:tcMar>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Oil</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126" w:type="dxa"/>
            <w:tcBorders>
              <w:top w:val="single" w:sz="4" w:space="0" w:color="000000"/>
            </w:tcBorders>
            <w:tcMar>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NGL</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231" w:type="dxa"/>
            <w:tcBorders>
              <w:top w:val="single" w:sz="4" w:space="0" w:color="000000"/>
            </w:tcBorders>
            <w:tcMar>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Gas</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231"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396" w:type="dxa"/>
            <w:tcBorders>
              <w:top w:val="single" w:sz="4" w:space="0" w:color="000000"/>
            </w:tcBorders>
            <w:tcMar>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Present Worth</w:t>
            </w:r>
          </w:p>
        </w:tc>
      </w:tr>
      <w:tr>
        <w:trPr/>
        <w:tc>
          <w:tcPr>
            <w:tcW w:w="30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Category</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(MBBL)</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1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(MBBL)</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(MMCF)</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Total</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3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at 10%</w:t>
            </w:r>
          </w:p>
        </w:tc>
      </w:tr>
      <w:tr>
        <w:trPr/>
        <w:tc>
          <w:tcPr>
            <w:tcW w:w="30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9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046"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Proved Developed Producing</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5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18,197.0</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2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644,326.9</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7,093,720.2</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18,688,602.9</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7,782,817.0</w:t>
            </w:r>
          </w:p>
        </w:tc>
      </w:tr>
      <w:tr>
        <w:trPr/>
        <w:tc>
          <w:tcPr>
            <w:tcW w:w="3046"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Proved Developed Non-Producing</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5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3,018.9</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2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70,963.9</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725,440.9</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1,979,968.9</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860,089.9</w:t>
            </w:r>
          </w:p>
        </w:tc>
      </w:tr>
      <w:tr>
        <w:trPr/>
        <w:tc>
          <w:tcPr>
            <w:tcW w:w="3046"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Proved Undeveloped</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5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11,538.2</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12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322,872.7</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23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3,099,574.2</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23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7,533,218.3</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39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2,497,753.4</w:t>
            </w:r>
          </w:p>
        </w:tc>
      </w:tr>
      <w:tr>
        <w:trPr/>
        <w:tc>
          <w:tcPr>
            <w:tcW w:w="30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5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2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046"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 </w:t>
            </w:r>
            <w:r>
              <w:rPr>
                <w:rFonts w:ascii="Arial" w:hAnsi="Arial"/>
                <w:color w:val="000000"/>
                <w:sz w:val="20"/>
              </w:rPr>
              <w:t>Total Proved</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5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32,754.1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2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1,038,163.5</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10,918,735.3</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28,201,790.1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11,140,660.3</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oil volumes shown include crude oil and condensate. Oil and natural gas liquids (NGL) volumes are expressed in thousands of barrels (MBBL); a barrel is equivalent to 42 United States gallons. Gas volumes are expressed in millions of cubic feet (MMCF) at standard temperature and pressure bases.</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When compared on an area-by-area basis, some of the estimates of Range are greater and some are less than the estimates of Netherland, Sewell &amp; Associates, Inc. (NSAI). However, in our opinion the estimates shown herein of Range's reserves and future revenue are reasonable when aggregated at the proved level and have been prepared in accordance with the Standards Pertaining to the Estimating and Auditing of Oil and Gas Reserves Information promulgated by the Society of Petroleum Engineers (SPE Standards). Additionally, the estimates shown herein of Range's proved reserves and present worth are within approximately 6 percent of the estimates of NSAI, which is within the recommended 10 percent tolerance threshold set forth in the SPE Standards. We are satisfied with the methods and procedures used by Range in preparing the December 31, 2025, estimates of reserves and future revenue, and we saw nothing of an unusual nature that would cause us to take exception with the estimates, in the aggregate, as prepared by Range.</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Reserves categorization conveys the relative degree of certainty; reserves subcategorization is based on development and production status. The estimates of reserves and future revenue included herein have not been</w:t>
      </w:r>
      <w:r>
        <w:rPr>
          <w:rFonts w:ascii="Times New Roman" w:hAnsi="Times New Roman"/>
          <w:color w:val="000000"/>
          <w:sz w:val="20"/>
        </w:rPr>
        <w:t xml:space="preserve">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drawing>
          <wp:inline distT="0" distB="0" distL="0" distR="0">
            <wp:extent cx="6400800" cy="7334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31"/>
                    <a:stretch>
                      <a:fillRect/>
                    </a:stretch>
                  </pic:blipFill>
                  <pic:spPr bwMode="auto">
                    <a:xfrm>
                      <a:off x="0" y="0"/>
                      <a:ext cx="6400800" cy="733425"/>
                    </a:xfrm>
                    <a:prstGeom prst="rect">
                      <a:avLst/>
                    </a:prstGeom>
                  </pic:spPr>
                </pic:pic>
              </a:graphicData>
            </a:graphic>
          </wp:inline>
        </w:drawing>
      </w:r>
    </w:p>
    <w:p>
      <w:pPr>
        <w:pStyle w:val="TextBody"/>
        <w:bidi w:val="0"/>
        <w:jc w:val="both"/>
        <w:rPr>
          <w:rFonts w:ascii="Times New Roman" w:hAnsi="Times New Roman"/>
          <w:sz w:val="20"/>
        </w:rPr>
      </w:pPr>
      <w:r>
        <w:rPr>
          <w:rFonts w:ascii="Arial" w:hAnsi="Arial"/>
          <w:color w:val="000000"/>
          <w:sz w:val="20"/>
        </w:rPr>
        <w:t>adjusted for risk. Range's estimates do not include probable or possible reserves that may exist for these properties, nor do they include any value for undeveloped acreage beyond those tracts for which undeveloped reserves have been estimated.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0"/>
        </w:rPr>
      </w:pPr>
      <w:bookmarkStart w:id="107" w:name="l11_delsec"/>
      <w:bookmarkEnd w:id="107"/>
      <w:r>
        <w:rPr>
          <w:rFonts w:ascii="Arial" w:hAnsi="Arial"/>
          <w:color w:val="000000"/>
          <w:sz w:val="20"/>
        </w:rPr>
        <w:t>Prices used by Range are based on the 12-month unweighted arithmetic average of the first-day-of-the-month price for each month in the period January through December 2025. For oil volumes and a portion of NGL volumes, the average NYMEX West Texas Intermediate price of $65.68 per barrel is adjusted for quality, transportation fees, and market differentials. For gas volumes and the remaining portion of the NGL volumes, the average Henry Hub price of $3.39 per MMBTU is adjusted for energy content, transportation fees, and market differentials. For ethane volumes and NGL volumes associated with ethane, historical realized prices used in the calculation of adjustments are based on formulas specified by contractual agreements. All prices are held constant throughout the lives of the properties. The average adjusted product prices weighted by production over the remaining lives of the properties are $54.98 per barrel of oil, $25.03 per barrel of NGL, and $3.05 per MCF of gas.</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Operating costs used by Range are based on historical operating expense records. Operating costs have been divided into per-well costs and per-unit-of-production costs. Headquarters general and administrative overhead expenses of Range are not included. Capital costs used by Range are based on authorizations for expenditure and actual costs from recent activity. Capital costs are included as required for workovers, new development wells, and production equipment. Abandonment costs used are Range's estimates of the costs to abandon the wells and production facilities, net of any salvage value. Operating, capital, and abandonment costs are not escalated for inflation.</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The reserves shown in this report are estimates only and should not be construed as exact quantities. Proved reserves are those quantities of oil and gas which, by analysis of engineering and geoscience data, can be estimated with reasonable certainty to be economically producible; probable and possible reserves are those additional reserves which are sequentially less certain to be recovered than proved reserves. Estimates of reserves may increase or decrease as a result of market conditions, future operations, changes in regulations, or actual reservoir performance. In addition to the primary economic assumptions discussed herein, estimates of Range and NSAI are based on certain assumptions including, but not limited to, that the properties will be developed consistent with current development plans as provided to us by Range, that the properties will be operated in a prudent manner, that no governmental regulations or controls will be put in place that would impact the ability of the interest owner to recover the reserves, and that projections of future production will prove consistent with actual performance. If the reserves are recovered, the revenues therefrom and the costs related thereto could be more or less than the estimated amounts. Because of governmental policies and uncertainties of supply and demand, the sales rates, prices received for the reserves, and costs incurred in recovering such reserves may vary from assumptions made while preparing these estimates.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It should be understood that our audit does not constitute a complete reserves study of the audited oil and gas properties. Our audit consisted primarily of substantive testing, wherein we conducted a detailed review of all properties. In the conduct of our audit, we have not independently verified the accuracy and completeness of information and data furnished by Range with respect to ownership interests, oil and gas production, well test data, historical costs of operation and development, product prices, or any agreements relating to current and future operations of the properties and sales of production. However, if in the course of our examination something came to our attention that brought into question the validity or sufficiency of any such information or data, we did not rely on such information or data until we had satisfactorily resolved our questions relating thereto or had independently verified such information or data. Our audit did not include a review of Range's overall reserves management processes and practices.</w:t>
      </w:r>
    </w:p>
    <w:p>
      <w:pPr>
        <w:pStyle w:val="TextBody"/>
        <w:bidi w:val="0"/>
        <w:jc w:val="both"/>
        <w:rPr/>
      </w:pPr>
      <w:r>
        <w:rPr/>
        <w:t> </w:t>
      </w:r>
    </w:p>
    <w:p>
      <w:pPr>
        <w:pStyle w:val="TextBody"/>
        <w:bidi w:val="0"/>
        <w:spacing w:before="0" w:after="240"/>
        <w:jc w:val="both"/>
        <w:rPr>
          <w:rFonts w:ascii="Arial" w:hAnsi="Arial"/>
          <w:color w:val="000000"/>
          <w:sz w:val="20"/>
        </w:rPr>
      </w:pPr>
      <w:r>
        <w:rPr>
          <w:rFonts w:ascii="Arial" w:hAnsi="Arial"/>
          <w:color w:val="000000"/>
          <w:sz w:val="20"/>
        </w:rPr>
        <w:t>We used standard engineering and geoscience methods, or a combination of methods, including performance analysis and analogy, that we considered to be appropriate and necessary to establish the conclusions set forth herein. As in all aspects of oil and gas evaluation, there are uncertainties inherent in the interpretation of engineering and geoscience data; therefore, our conclusions necessarily represent only informed professional judgment.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drawing>
          <wp:inline distT="0" distB="0" distL="0" distR="0">
            <wp:extent cx="6400800" cy="7334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32"/>
                    <a:stretch>
                      <a:fillRect/>
                    </a:stretch>
                  </pic:blipFill>
                  <pic:spPr bwMode="auto">
                    <a:xfrm>
                      <a:off x="0" y="0"/>
                      <a:ext cx="6400800" cy="733425"/>
                    </a:xfrm>
                    <a:prstGeom prst="rect">
                      <a:avLst/>
                    </a:prstGeom>
                  </pic:spPr>
                </pic:pic>
              </a:graphicData>
            </a:graphic>
          </wp:inline>
        </w:drawing>
      </w:r>
    </w:p>
    <w:p>
      <w:pPr>
        <w:pStyle w:val="TextBody"/>
        <w:bidi w:val="0"/>
        <w:jc w:val="both"/>
        <w:rPr>
          <w:rFonts w:ascii="Arial" w:hAnsi="Arial"/>
          <w:color w:val="000000"/>
          <w:sz w:val="20"/>
        </w:rPr>
      </w:pPr>
      <w:r>
        <w:rPr>
          <w:rFonts w:ascii="Arial" w:hAnsi="Arial"/>
          <w:color w:val="000000"/>
          <w:sz w:val="20"/>
        </w:rPr>
        <w:t>Supporting data documenting this audit, along with data provided by Range, are on file in our office. The technical persons primarily responsible for conducting this audit meet the requirements regarding qualifications, independence, objectivity, and confidentiality set forth in the SPE Standards. Philip S. (Scott) Frost, a Licensed Professional Engineer in the State of Texas, has been practicing consulting petroleum engineering at NSAI since 1984 and has over 4 years of prior industry experience. William J. Knights, a Licensed Professional Geoscientist in the State of Texas, has been practicing consulting petroleum geoscience at NSAI since 1991 and has over 10 years of prior industry experience. We are independent petroleum engineers, geologists, geophysicists, and petrophysicists; we do not own an interest in these properties nor are we employed on a contingent basis.</w:t>
      </w:r>
    </w:p>
    <w:p>
      <w:pPr>
        <w:pStyle w:val="TextBody"/>
        <w:bidi w:val="0"/>
        <w:jc w:val="center"/>
        <w:rPr/>
      </w:pPr>
      <w:r>
        <w:rPr/>
        <w:t> </w:t>
      </w:r>
    </w:p>
    <w:p>
      <w:pPr>
        <w:pStyle w:val="TextBody"/>
        <w:bidi w:val="0"/>
        <w:jc w:val="both"/>
        <w:rPr/>
      </w:pPr>
      <w:r>
        <w:rPr/>
        <w:t> </w:t>
      </w:r>
    </w:p>
    <w:tbl>
      <w:tblPr>
        <w:tblW w:w="4411" w:type="dxa"/>
        <w:jc w:val="left"/>
        <w:tblInd w:w="0" w:type="dxa"/>
        <w:tblLayout w:type="fixed"/>
        <w:tblCellMar>
          <w:top w:w="28" w:type="dxa"/>
          <w:left w:w="28" w:type="dxa"/>
          <w:bottom w:w="28" w:type="dxa"/>
          <w:right w:w="28" w:type="dxa"/>
        </w:tblCellMar>
      </w:tblPr>
      <w:tblGrid>
        <w:gridCol w:w="4411"/>
      </w:tblGrid>
      <w:tr>
        <w:trPr/>
        <w:tc>
          <w:tcPr>
            <w:tcW w:w="4411" w:type="dxa"/>
            <w:tcBorders/>
            <w:vAlign w:val="center"/>
          </w:tcPr>
          <w:p>
            <w:pPr>
              <w:pStyle w:val="TableContents"/>
              <w:bidi w:val="0"/>
              <w:spacing w:before="0" w:after="283"/>
              <w:jc w:val="left"/>
              <w:rPr>
                <w:sz w:val="4"/>
                <w:szCs w:val="4"/>
              </w:rPr>
            </w:pPr>
            <w:r>
              <w:rPr>
                <w:sz w:val="4"/>
                <w:szCs w:val="4"/>
              </w:rPr>
            </w:r>
          </w:p>
        </w:tc>
      </w:tr>
      <w:tr>
        <w:trPr/>
        <w:tc>
          <w:tcPr>
            <w:tcW w:w="4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Sincerely,</w:t>
            </w:r>
          </w:p>
        </w:tc>
      </w:tr>
      <w:tr>
        <w:trPr/>
        <w:tc>
          <w:tcPr>
            <w:tcW w:w="44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NETHERLAND, SEWELL &amp; ASSOCIATES, INC.</w:t>
            </w:r>
          </w:p>
        </w:tc>
      </w:tr>
      <w:tr>
        <w:trPr/>
        <w:tc>
          <w:tcPr>
            <w:tcW w:w="4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Texas Registered Engineering Firm F-2699</w:t>
            </w:r>
          </w:p>
        </w:tc>
      </w:tr>
    </w:tbl>
    <w:p>
      <w:pPr>
        <w:pStyle w:val="TextBody"/>
        <w:bidi w:val="0"/>
        <w:jc w:val="left"/>
        <w:rPr/>
      </w:pPr>
      <w:r>
        <w:rPr/>
        <w:t> </w:t>
      </w:r>
    </w:p>
    <w:p>
      <w:pPr>
        <w:pStyle w:val="TextBody"/>
        <w:bidi w:val="0"/>
        <w:jc w:val="left"/>
        <w:rPr/>
      </w:pPr>
      <w:r>
        <w:rPr/>
        <w:t> </w:t>
      </w:r>
    </w:p>
    <w:tbl>
      <w:tblPr>
        <w:tblW w:w="7483" w:type="dxa"/>
        <w:jc w:val="left"/>
        <w:tblInd w:w="0" w:type="dxa"/>
        <w:tblLayout w:type="fixed"/>
        <w:tblCellMar>
          <w:top w:w="28" w:type="dxa"/>
          <w:left w:w="28" w:type="dxa"/>
          <w:bottom w:w="28" w:type="dxa"/>
          <w:right w:w="28" w:type="dxa"/>
        </w:tblCellMar>
      </w:tblPr>
      <w:tblGrid>
        <w:gridCol w:w="3481"/>
        <w:gridCol w:w="146"/>
        <w:gridCol w:w="3856"/>
      </w:tblGrid>
      <w:tr>
        <w:trPr/>
        <w:tc>
          <w:tcPr>
            <w:tcW w:w="3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56" w:type="dxa"/>
            <w:tcBorders/>
            <w:vAlign w:val="center"/>
          </w:tcPr>
          <w:p>
            <w:pPr>
              <w:pStyle w:val="TableContents"/>
              <w:bidi w:val="0"/>
              <w:spacing w:before="0" w:after="283"/>
              <w:jc w:val="left"/>
              <w:rPr>
                <w:sz w:val="4"/>
                <w:szCs w:val="4"/>
              </w:rPr>
            </w:pPr>
            <w:r>
              <w:rPr>
                <w:sz w:val="4"/>
                <w:szCs w:val="4"/>
              </w:rPr>
            </w:r>
          </w:p>
        </w:tc>
      </w:tr>
      <w:tr>
        <w:trPr/>
        <w:tc>
          <w:tcPr>
            <w:tcW w:w="34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5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 Richard B. Talley, Jr.</w:t>
            </w:r>
          </w:p>
        </w:tc>
      </w:tr>
      <w:tr>
        <w:trPr/>
        <w:tc>
          <w:tcPr>
            <w:tcW w:w="34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r>
      <w:tr>
        <w:trPr/>
        <w:tc>
          <w:tcPr>
            <w:tcW w:w="34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5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Richard B. Talley, Jr., P.E.</w:t>
            </w:r>
          </w:p>
        </w:tc>
      </w:tr>
      <w:tr>
        <w:trPr/>
        <w:tc>
          <w:tcPr>
            <w:tcW w:w="34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5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Chairman and Chief Executive Officer</w:t>
            </w:r>
          </w:p>
        </w:tc>
      </w:tr>
      <w:tr>
        <w:trPr/>
        <w:tc>
          <w:tcPr>
            <w:tcW w:w="34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 Phillip S. (Scott) Frost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5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 William J. Knights</w:t>
            </w:r>
          </w:p>
        </w:tc>
      </w:tr>
      <w:tr>
        <w:trPr/>
        <w:tc>
          <w:tcPr>
            <w:tcW w:w="3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r>
      <w:tr>
        <w:trPr/>
        <w:tc>
          <w:tcPr>
            <w:tcW w:w="348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Phillip S. (Scott) Frost, P.E. 88738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5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William J. Knights, P.G. 1532</w:t>
            </w:r>
          </w:p>
        </w:tc>
      </w:tr>
      <w:tr>
        <w:trPr/>
        <w:tc>
          <w:tcPr>
            <w:tcW w:w="348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Senior Vice President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5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Vice President</w:t>
            </w:r>
          </w:p>
        </w:tc>
      </w:tr>
      <w:tr>
        <w:trPr/>
        <w:tc>
          <w:tcPr>
            <w:tcW w:w="34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Signed: January 21,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Signed: January 21, 2026</w:t>
            </w:r>
          </w:p>
        </w:tc>
      </w:tr>
    </w:tbl>
    <w:p>
      <w:pPr>
        <w:pStyle w:val="TextBody"/>
        <w:bidi w:val="0"/>
        <w:jc w:val="left"/>
        <w:rPr/>
      </w:pPr>
      <w:r>
        <w:rPr/>
        <w:t>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PSF:CEV</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gif"/><Relationship Id="rId4" Type="http://schemas.openxmlformats.org/officeDocument/2006/relationships/image" Target="media/image3.gif"/><Relationship Id="rId5" Type="http://schemas.openxmlformats.org/officeDocument/2006/relationships/hyperlink" Target="https://www.sec.gov/Archives/edgar/data/315852/000095013404006618/d14506exv3w1w1.txt" TargetMode="External"/><Relationship Id="rId6" Type="http://schemas.openxmlformats.org/officeDocument/2006/relationships/hyperlink" Target="https://www.sec.gov/Archives/edgar/data/315852/000095013405014172/d27290exv3w1.htm" TargetMode="External"/><Relationship Id="rId7" Type="http://schemas.openxmlformats.org/officeDocument/2006/relationships/hyperlink" Target="https://www.sec.gov/Archives/edgar/data/315852/000095013408013177/d58677exv3w1.htm" TargetMode="External"/><Relationship Id="rId8" Type="http://schemas.openxmlformats.org/officeDocument/2006/relationships/hyperlink" Target="https://www.sec.gov/Archives/edgar/data/315852/000095017024055770/rrc-ex3_1.htm" TargetMode="External"/><Relationship Id="rId9" Type="http://schemas.openxmlformats.org/officeDocument/2006/relationships/hyperlink" Target="https://www.sec.gov/Archives/edgar/data/315852/000119312516594689/d152955dex31.htm" TargetMode="External"/><Relationship Id="rId10" Type="http://schemas.openxmlformats.org/officeDocument/2006/relationships/hyperlink" Target="https://www.sec.gov/Archives/edgar/data/315852/000119312516691037/d235464dex42.htm" TargetMode="External"/><Relationship Id="rId11" Type="http://schemas.openxmlformats.org/officeDocument/2006/relationships/hyperlink" Target="https://www.sec.gov/Archives/edgar/data/315852/000119312516691037/d235464dex43.htm" TargetMode="External"/><Relationship Id="rId12" Type="http://schemas.openxmlformats.org/officeDocument/2006/relationships/hyperlink" Target="https://www.sec.gov/Archives/edgar/data/315852/000119312521005250/d902720dex41.htm" TargetMode="External"/><Relationship Id="rId13" Type="http://schemas.openxmlformats.org/officeDocument/2006/relationships/hyperlink" Target="https://www.sec.gov/Archives/edgar/data/315852/000119312521005250/d902720dex41.htm" TargetMode="External"/><Relationship Id="rId14" Type="http://schemas.openxmlformats.org/officeDocument/2006/relationships/hyperlink" Target="https://www.sec.gov/Archives/edgar/data/315852/000119312522024682/d301990dex41.htm" TargetMode="External"/><Relationship Id="rId15" Type="http://schemas.openxmlformats.org/officeDocument/2006/relationships/hyperlink" Target="https://www.sec.gov/Archives/edgar/data/315852/000119312522024682/d301990dex41.htm" TargetMode="External"/><Relationship Id="rId16" Type="http://schemas.openxmlformats.org/officeDocument/2006/relationships/hyperlink" Target="https://www.sec.gov/Archives/edgar/data/315852/000119312525228412/rrc-ex10_1.htm" TargetMode="External"/><Relationship Id="rId17" Type="http://schemas.openxmlformats.org/officeDocument/2006/relationships/hyperlink" Target="https://www.sec.gov/Archives/edgar/data/315852/000095017023004687/rrc-ex10_02.htm" TargetMode="External"/><Relationship Id="rId18" Type="http://schemas.openxmlformats.org/officeDocument/2006/relationships/hyperlink" Target="https://www.sec.gov/Archives/edgar/data/315852/000095012309011470/d68002exv10w1.htm" TargetMode="External"/><Relationship Id="rId19" Type="http://schemas.openxmlformats.org/officeDocument/2006/relationships/hyperlink" Target="https://www.sec.gov/Archives/edgar/data/315852/000095012310051614/d73212exv10w1.htm" TargetMode="External"/><Relationship Id="rId20" Type="http://schemas.openxmlformats.org/officeDocument/2006/relationships/hyperlink" Target="https://www.sec.gov/Archives/edgar/data/315852/000095012311051949/d82446exv10w1.htm" TargetMode="External"/><Relationship Id="rId21" Type="http://schemas.openxmlformats.org/officeDocument/2006/relationships/hyperlink" Target="https://www.sec.gov/Archives/edgar/data/315852/000095017025026789/rrc-ex10_06.htm" TargetMode="External"/><Relationship Id="rId22" Type="http://schemas.openxmlformats.org/officeDocument/2006/relationships/hyperlink" Target="https://www.sec.gov/Archives/edgar/data/315852/000095017025026789/rrc-ex10_06.htm" TargetMode="External"/><Relationship Id="rId23" Type="http://schemas.openxmlformats.org/officeDocument/2006/relationships/hyperlink" Target="https://www.sec.gov/Archives/edgar/data/315852/000095017025056820/rrc-ex10_1.htm" TargetMode="External"/><Relationship Id="rId24" Type="http://schemas.openxmlformats.org/officeDocument/2006/relationships/hyperlink" Target="https://www.sec.gov/Archives/edgar/data/315852/000095017025056820/rrc-ex10_2.htm" TargetMode="External"/><Relationship Id="rId25" Type="http://schemas.openxmlformats.org/officeDocument/2006/relationships/hyperlink" Target="https://www.sec.gov/Archives/edgar/data/315852/000095017025097592/rrc-ex10_1.htm" TargetMode="External"/><Relationship Id="rId26" Type="http://schemas.openxmlformats.org/officeDocument/2006/relationships/hyperlink" Target="https://www.sec.gov/Archives/edgar/data/315852/000095017025026789/rrc-ex10_08.htm" TargetMode="External"/><Relationship Id="rId27" Type="http://schemas.openxmlformats.org/officeDocument/2006/relationships/hyperlink" Target="https://www.sec.gov/Archives/edgar/data/315852/000095013409003035/d66361exv10w6.htm" TargetMode="External"/><Relationship Id="rId28" Type="http://schemas.openxmlformats.org/officeDocument/2006/relationships/hyperlink" Target="https://www.sec.gov/Archives/edgar/data/0000315852/000095017024018046/rrc-ex19_1.htm" TargetMode="External"/><Relationship Id="rId29" Type="http://schemas.openxmlformats.org/officeDocument/2006/relationships/hyperlink" Target="https://www.sec.gov/Archives/edgar/data/0000315852/000095017024018046/rrc-ex19_1.htm" TargetMode="External"/><Relationship Id="rId30" Type="http://schemas.openxmlformats.org/officeDocument/2006/relationships/hyperlink" Target="https://www.sec.gov/Archives/edgar/data/0000315852/000095017024018046/rrc-ex97.htm" TargetMode="External"/><Relationship Id="rId31" Type="http://schemas.openxmlformats.org/officeDocument/2006/relationships/image" Target="media/image4.gif"/><Relationship Id="rId32" Type="http://schemas.openxmlformats.org/officeDocument/2006/relationships/image" Target="media/image4.gif"/><Relationship Id="rId33" Type="http://schemas.openxmlformats.org/officeDocument/2006/relationships/fontTable" Target="fontTable.xml"/><Relationship Id="rId3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64634</Words>
  <Characters>358020</Characters>
  <CharactersWithSpaces>424795</CharactersWithSpaces>
  <Paragraphs>12520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