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RANGE RESOURCES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444" w:type="dxa"/>
        <w:tblCellMar>
          <w:top w:w="0" w:type="dxa"/>
          <w:left w:w="0" w:type="dxa"/>
          <w:bottom w:w="0" w:type="dxa"/>
          <w:right w:w="0" w:type="dxa"/>
        </w:tblCellMar>
      </w:tblPr>
      <w:tr>
        <w:trPr>
          <w:trHeight w:val="214"/>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001-12209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34-1312571</w:t>
            </w:r>
          </w:p>
        </w:tc>
      </w:tr>
      <w:tr>
        <w:trPr>
          <w:trHeight w:val="148"/>
        </w:trPr>
        <w:tc>
          <w:tcPr>
            <w:tcW w:w="3800" w:type="dxa"/>
            <w:vAlign w:val="bottom"/>
          </w:tcPr>
          <w:p>
            <w:pPr>
              <w:jc w:val="center"/>
              <w:ind w:righ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2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100 Throckmorton Street, Suite 1200</w:t>
            </w: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1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3800" w:type="dxa"/>
            <w:vAlign w:val="bottom"/>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870-2601</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5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October 27, 2026 Range Resources Corporation (“Range”) issued a press release announcing its third quarter 2026 results. A copy of this press release is being furnished as an exhibit to this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27, 2026</w:t>
      </w:r>
    </w:p>
    <w:p>
      <w:pPr>
        <w:spacing w:after="0" w:line="11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2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This Current Report on Form 8-K (the “Report”)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Report may include statements regarding the proposed transaction (the “proposed transaction”) between EQT Corporation (“EQT”) and Range,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2"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Range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Report due to a number of factors, including, but not limited to: the occurrence of any event, change or other circumstances that could give rise to the termination of the merger agreement related to the proposed transaction (the “Merger Agreement”); the possibility that shareholders of EQT may not approve the issuance of EQT shares required in the proposed transaction; the possibility that the shareholders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the combined company’s ability to identify and mitigate the risks and hazards inherent in operating in the global energy industry; and other factors detailed in EQT’s and Range’s Annual Reports on Form 10-K for the year ended December 31, 2025 and subsequent Quarterly Reports on Form 10-Q and Current Reports on Form 8-K.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Report.</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Report,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Shareholders; Additional Information and Where to Find It</w:t>
      </w:r>
    </w:p>
    <w:p>
      <w:pPr>
        <w:spacing w:after="0" w:line="12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Range and EQT also intend to file other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shareholders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Range will be available free of charge on Range’s website at ir.rangeresources.com. Copies of the documents filed with the SEC by EQT will be available free of charge on EQT’s website at ir.eqt.com/investor-relations. The information included on, or accessible through, Range’s or EQT’s website is not incorporated by reference into this communication.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firstLine="991"/>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Range, EQT and their respective directors, executive officers and other members of management and employees may be deemed to be participants in the solicitation of proxies in connection with the proposed transaction contemplated by the joint proxy statement/prospectus.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w:t>
      </w:r>
      <w:hyperlink r:id="rId19">
        <w:r>
          <w:rPr>
            <w:rFonts w:ascii="Times New Roman" w:cs="Times New Roman" w:eastAsia="Times New Roman" w:hAnsi="Times New Roman"/>
            <w:sz w:val="18"/>
            <w:szCs w:val="18"/>
            <w:u w:val="single" w:color="auto"/>
            <w:color w:val="0000EE"/>
          </w:rPr>
          <w:t>https://www.sec.gov/ix?doc=/Archives/edgar/data/0000315852/000119312526067292/rrc-20251231.htm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 and its Definitive Proxy Statement on Schedule 14A that was filed with the SEC on March 31, 2026 (and which is available at </w:t>
      </w:r>
      <w:hyperlink r:id="rId20">
        <w:r>
          <w:rPr>
            <w:rFonts w:ascii="Times New Roman" w:cs="Times New Roman" w:eastAsia="Times New Roman" w:hAnsi="Times New Roman"/>
            <w:sz w:val="18"/>
            <w:szCs w:val="18"/>
            <w:u w:val="single" w:color="auto"/>
            <w:color w:val="0000EE"/>
          </w:rPr>
          <w:t>https://www.sec.gov/ix?doc=/Archives/edgar/data/0000315852/000119312526134699/rrc-20260325.htm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Range’s securities has changed since the filing of such proxy statement, such changes have been or will be reflected on Statements of Changes in Beneficial Ownership on Form 4 filed with the SEC. Information regarding EQT’s directors and executive officers and their ownership of EQT’s securities is set forth in EQT’s filings with the SEC, including EQT’s Annual Report on Form 10-K for the fiscal year ended December 31, 2025 (and which is available at </w:t>
      </w:r>
      <w:hyperlink r:id="rId21">
        <w:r>
          <w:rPr>
            <w:rFonts w:ascii="Times New Roman" w:cs="Times New Roman" w:eastAsia="Times New Roman" w:hAnsi="Times New Roman"/>
            <w:sz w:val="18"/>
            <w:szCs w:val="18"/>
            <w:u w:val="single" w:color="auto"/>
            <w:color w:val="0000EE"/>
          </w:rPr>
          <w:t>https://www.sec.gov/ix?doc=/Archives/edgar/data/0000033213/000003321326000018/eqt-20251231.htm</w:t>
        </w:r>
      </w:hyperlink>
      <w:r>
        <w:rPr>
          <w:rFonts w:ascii="Times New Roman" w:cs="Times New Roman" w:eastAsia="Times New Roman" w:hAnsi="Times New Roman"/>
          <w:sz w:val="18"/>
          <w:szCs w:val="18"/>
          <w:color w:val="000000"/>
        </w:rPr>
        <w:t xml:space="preserve">) and its Definitive Proxy Statement on Schedule 14A that was filed with the SEC on February 26, 2026 (and which is available at </w:t>
      </w:r>
      <w:hyperlink r:id="rId22">
        <w:r>
          <w:rPr>
            <w:rFonts w:ascii="Times New Roman" w:cs="Times New Roman" w:eastAsia="Times New Roman" w:hAnsi="Times New Roman"/>
            <w:sz w:val="18"/>
            <w:szCs w:val="18"/>
            <w:u w:val="single" w:color="auto"/>
            <w:color w:val="0000EE"/>
          </w:rPr>
          <w:t>https://www.sec.gov/ix?doc=/Archives/edgar/data/0000033213/000110465926020027/tm261383-1_def14a.htm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EQT’s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29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rFonts w:ascii="Times New Roman" w:cs="Times New Roman" w:eastAsia="Times New Roman" w:hAnsi="Times New Roman"/>
          <w:sz w:val="18"/>
          <w:szCs w:val="18"/>
          <w:color w:val="0000EE"/>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This Report relates to the proposed transaction. This Report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document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2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RANGE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Mark S. Scucchi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40" w:top="266" w:right="61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Range Announces Third Quarter 2026 Results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FORT WORTH, Texas, October 27, 2026…RANGE RESOURCES CORPORATION (NYSE: RRC) </w:t>
      </w:r>
      <w:r>
        <w:rPr>
          <w:rFonts w:ascii="Times New Roman" w:cs="Times New Roman" w:eastAsia="Times New Roman" w:hAnsi="Times New Roman"/>
          <w:sz w:val="18"/>
          <w:szCs w:val="18"/>
          <w:color w:val="auto"/>
        </w:rPr>
        <w:t>today announced its third quarter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 –</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of $308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before working capital changes, of $347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was $170 million, approximately 25% of the annual 2026 budget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including hedges, was $3.43 per mcfe – a $0.48 premium versus NYMEX natural gas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Pre-hedge NGL realizations of $27.54 per barrel, a premium of $1.54 over the Mont Belvieu equivalent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averaged 2.50 Bcfe per day, approximately 68% natural gas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liquids production of 133,173 barrels per day</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Dennis Degner, the Company’s CEO said, “Our third quarter results showed consistent progress on our multi-year development plan, as key infrastructure was commissioned in Range’s liquids-rich area. As a result of strong well performance and expanded infrastructure, Range’s liquids production increased to a Company record of over 130,000 barrels per day. Increased liquids production, paired with strategic access to international markets, drove strong cash margins and free cash flow during the quarter, further bolstering Range’s financial position.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considerable momentum across our business and will be exiting 2026 in the strongest position in Range’s history. We believe our pending transaction with EQT Corporation is a natural next step in our journey that will allow us to scale our business, expand our reach to meet demand and accelerate our mission. With EQT, we will have improved market access, best-in-class inventory, enhanced cash flow generation, and fortified resiliency to drive profitable growth and shareholder value creation through commodity cycles. We look forward to completing the transaction and unlocking its compelling benefits for our team, customers, partners and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Discussion</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Except for generally accepted accounting principles (“GAAP”) reported amounts, specific expense categories exclude non-cash impairments, unrealized mark-to-market adjustment on derivatives, non-cash stock compensation and other items shown separately on the attached tables. “Unit costs” as used in this release are composed of direct operating, transportation, gathering, processing and compression, taxes other than income, general and administrative, interest and depletion, depreciation and amortization costs divided by production. See “Non-GAAP Financial Measures” for a definition of non-GAAP financial measures and the accompanying tables that reconcile each non-GAAP measure to its most directly comparable GAAP financial measure.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2026 Results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GAAP revenues and other income for third quarter 2026 totaled $843 million, GAAP net cash provided from operating activities (including changes in working capital) was $308 million, and GAAP net income was $175 million ($0.75 per diluted share). Third quarter earnings results include a $58 million mark-to-market derivative gain due to decreases in commodity prices.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Cash flow from operations before changes in working capital, a non-GAAP measure, was $347 million. Adjusted net income comparable to analysts’ estimates, a non-GAAP measure, was $191 million ($0.81 per diluted share) in third quarter 2026.</w:t>
      </w:r>
    </w:p>
    <w:p>
      <w:pPr>
        <w:sectPr>
          <w:pgSz w:w="11900" w:h="16838" w:orient="portrait"/>
          <w:cols w:equalWidth="0" w:num="1">
            <w:col w:w="11020"/>
          </w:cols>
          <w:pgMar w:left="440" w:top="266"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details Range’s third quarter 2026 unit costs per mcfe</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360" w:type="dxa"/>
            <w:vAlign w:val="bottom"/>
            <w:vMerge w:val="restart"/>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3Q 2026</w:t>
            </w:r>
          </w:p>
        </w:tc>
        <w:tc>
          <w:tcPr>
            <w:tcW w:w="5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3Q 2025</w:t>
            </w:r>
          </w:p>
        </w:tc>
        <w:tc>
          <w:tcPr>
            <w:tcW w:w="58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65"/>
        </w:trPr>
        <w:tc>
          <w:tcPr>
            <w:tcW w:w="580" w:type="dxa"/>
            <w:vAlign w:val="bottom"/>
            <w:tcBorders>
              <w:bottom w:val="single" w:sz="8" w:color="auto"/>
            </w:tcBorders>
            <w:vMerge w:val="continue"/>
          </w:tcPr>
          <w:p>
            <w:pPr>
              <w:spacing w:after="0"/>
              <w:rPr>
                <w:sz w:val="13"/>
                <w:szCs w:val="13"/>
                <w:color w:val="auto"/>
              </w:rPr>
            </w:pPr>
          </w:p>
        </w:tc>
        <w:tc>
          <w:tcPr>
            <w:tcW w:w="5360" w:type="dxa"/>
            <w:vAlign w:val="bottom"/>
            <w:vMerge w:val="continue"/>
          </w:tcPr>
          <w:p>
            <w:pPr>
              <w:spacing w:after="0"/>
              <w:rPr>
                <w:sz w:val="13"/>
                <w:szCs w:val="13"/>
                <w:color w:val="auto"/>
              </w:rPr>
            </w:pPr>
          </w:p>
        </w:tc>
        <w:tc>
          <w:tcPr>
            <w:tcW w:w="6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3"/>
              </w:rPr>
              <w:t>(per mcfe)</w:t>
            </w:r>
          </w:p>
        </w:tc>
        <w:tc>
          <w:tcPr>
            <w:tcW w:w="120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mcfe)</w:t>
            </w:r>
          </w:p>
        </w:tc>
        <w:tc>
          <w:tcPr>
            <w:tcW w:w="150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940" w:type="dxa"/>
            <w:vAlign w:val="bottom"/>
            <w:tcBorders>
              <w:right w:val="single" w:sz="8" w:color="CCEEFF"/>
            </w:tcBorders>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Direct operating</w:t>
            </w:r>
            <w:r>
              <w:rPr>
                <w:rFonts w:ascii="Times New Roman" w:cs="Times New Roman" w:eastAsia="Times New Roman" w:hAnsi="Times New Roman"/>
                <w:sz w:val="25"/>
                <w:szCs w:val="25"/>
                <w:color w:val="auto"/>
                <w:vertAlign w:val="superscript"/>
              </w:rPr>
              <w:t>(a)</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Borders>
              <w:right w:val="single" w:sz="8" w:color="CCEEFF"/>
            </w:tcBorders>
            <w:gridSpan w:val="2"/>
            <w:vMerge w:val="continue"/>
            <w:shd w:val="clear" w:color="auto" w:fill="CCEEFF"/>
          </w:tcPr>
          <w:p>
            <w:pPr>
              <w:spacing w:after="0"/>
              <w:rPr>
                <w:sz w:val="17"/>
                <w:szCs w:val="17"/>
                <w:color w:val="auto"/>
              </w:rPr>
            </w:pP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5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58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Transportation, gathering, processing and compression</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(a)</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5"/>
                <w:szCs w:val="25"/>
                <w:color w:val="auto"/>
                <w:vertAlign w:val="superscript"/>
              </w:rPr>
              <w:t>(a)</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Total cash unit costs</w:t>
            </w:r>
            <w:r>
              <w:rPr>
                <w:rFonts w:ascii="Times New Roman" w:cs="Times New Roman" w:eastAsia="Times New Roman" w:hAnsi="Times New Roman"/>
                <w:sz w:val="26"/>
                <w:szCs w:val="26"/>
                <w:color w:val="auto"/>
                <w:vertAlign w:val="superscript"/>
              </w:rPr>
              <w:t>(b)</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 (DD&amp;A)</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Total unit costs plus DD&amp;A</w:t>
            </w:r>
            <w:r>
              <w:rPr>
                <w:rFonts w:ascii="Times New Roman" w:cs="Times New Roman" w:eastAsia="Times New Roman" w:hAnsi="Times New Roman"/>
                <w:sz w:val="26"/>
                <w:szCs w:val="26"/>
                <w:color w:val="auto"/>
                <w:vertAlign w:val="superscript"/>
              </w:rPr>
              <w:t>(b)</w:t>
            </w: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vMerge w:val="continue"/>
          </w:tcPr>
          <w:p>
            <w:pPr>
              <w:spacing w:after="0"/>
              <w:rPr>
                <w:sz w:val="19"/>
                <w:szCs w:val="19"/>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stock-based compensation, one-time settlements, and amortization of debt issuance costs.</w:t>
      </w:r>
    </w:p>
    <w:p>
      <w:pPr>
        <w:spacing w:after="0" w:line="29"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Totals may not add due to rounding.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details Range’s average production and realized pricing for third quarter 2026</w:t>
      </w:r>
      <w:r>
        <w:rPr>
          <w:rFonts w:ascii="Times New Roman" w:cs="Times New Roman" w:eastAsia="Times New Roman" w:hAnsi="Times New Roman"/>
          <w:sz w:val="26"/>
          <w:szCs w:val="26"/>
          <w:color w:val="auto"/>
          <w:vertAlign w:val="superscript"/>
        </w:rPr>
        <w:t>(a)</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3Q26 Production &amp; Realized Pricing</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340" w:type="dxa"/>
            <w:vAlign w:val="bottom"/>
          </w:tcPr>
          <w:p>
            <w:pPr>
              <w:spacing w:after="0"/>
              <w:rPr>
                <w:sz w:val="10"/>
                <w:szCs w:val="10"/>
                <w:color w:val="auto"/>
              </w:rPr>
            </w:pPr>
          </w:p>
        </w:tc>
        <w:tc>
          <w:tcPr>
            <w:tcW w:w="1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NGLs</w:t>
            </w: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(mcf)</w:t>
            </w:r>
          </w:p>
        </w:tc>
        <w:tc>
          <w:tcPr>
            <w:tcW w:w="34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(bbl)</w:t>
            </w:r>
          </w:p>
        </w:tc>
        <w:tc>
          <w:tcPr>
            <w:tcW w:w="100" w:type="dxa"/>
            <w:vAlign w:val="bottom"/>
          </w:tcPr>
          <w:p>
            <w:pPr>
              <w:spacing w:after="0"/>
              <w:rPr>
                <w:sz w:val="15"/>
                <w:szCs w:val="15"/>
                <w:color w:val="auto"/>
              </w:rPr>
            </w:pP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(bbl)</w:t>
            </w:r>
          </w:p>
        </w:tc>
        <w:tc>
          <w:tcPr>
            <w:tcW w:w="10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(mcfe)</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production per day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1,700,068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126,674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2,499,104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Average NYMEX price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$ 85.60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Differential, including basis hedging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(0.55)</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Realized prices before NYMEX hedges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NYMEX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Average realized prices after hedges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$ 69.33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Totals may not add due to rounding.</w:t>
      </w:r>
    </w:p>
    <w:p>
      <w:pPr>
        <w:spacing w:after="0" w:line="22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Third quarter 2026 natural gas, NGLs and oil price realizations (including the impact of cash-settled hedges and derivative settlements) averaged $3.43 per mcfe.</w:t>
      </w:r>
    </w:p>
    <w:p>
      <w:pPr>
        <w:spacing w:after="0" w:line="67"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natural gas price, including the impact of basis hedging, was $2.40 per mcf, or a ($0.55) per mcf differential to NYMEX.</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Range’s pre-hedge NGL price during the quarter was $27.54 per barrel, approximately $1.54 above the Mont Belvieu weighted equivalent.</w:t>
      </w:r>
    </w:p>
    <w:p>
      <w:pPr>
        <w:spacing w:after="0" w:line="130"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and condensate price realizations, before realized hedges, averaged $75.57 per barrel, or $10.03 below WTI (West Texas Intermediate).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 and Repurchase Activity</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As of September 30, 2026, Range had net debt outstanding of approximately $794 million, consisting of $500 million of senior notes and $294 million on the credit facility.</w:t>
      </w:r>
    </w:p>
    <w:p>
      <w:pPr>
        <w:sectPr>
          <w:pgSz w:w="11900" w:h="16838" w:orient="portrait"/>
          <w:cols w:equalWidth="0" w:num="1">
            <w:col w:w="10984"/>
          </w:cols>
          <w:pgMar w:left="436" w:top="270" w:right="47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quarter, Range did not repurchase shares. As of September 30, 2026, the Company had $1.4 billion of availability under the share repurchase program previously authorized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Operational Activity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Third quarter 2026 drilling and completion expenditures were $160 million. In addition, during the quarter, approximately $5 million was invested in acreage, and $5 million was invested in infrastructure, pneumatic upgrades, and other investments. Third quarter capital spending represented approximately 25% of Range’s total capital budget in 2026.</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the quarter, Range drilled ~178,000 lateral feet across 10 wells, while turning to sales ~240,000 feet across 17 wells. The table below summarizes expected 2026 activity plans regarding the number of wells to sales in each area.</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 YTD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Planned Wells</w:t>
            </w:r>
          </w:p>
        </w:tc>
      </w:tr>
      <w:tr>
        <w:trPr>
          <w:trHeight w:val="173"/>
        </w:trPr>
        <w:tc>
          <w:tcPr>
            <w:tcW w:w="3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Wells TIL</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TIL in 2026</w:t>
            </w: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Liquids Rich</w:t>
            </w:r>
          </w:p>
        </w:tc>
        <w:tc>
          <w:tcPr>
            <w:tcW w:w="2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Dry Gas</w:t>
            </w:r>
          </w:p>
        </w:tc>
        <w:tc>
          <w:tcPr>
            <w:tcW w:w="20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Appalachia</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Status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Range hedges portions of its expected future production volumes to increase the predictability of cash flow and maintain a strong, flexible financial position. Please see the detailed hedging schedule posted on the Range website under Investor Relations – Financial Information.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Range has also hedged basis across the Company’s numerous natural gas sales points to limit volatility between benchmark and regional prices. The combined fair value of natural gas basis hedges as of September 30, 2026, was a net loss of $8.4 million. 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pending merger with EQT, Range will not host a conference call or webcast to discuss its third quarter 2026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To supplement the presentation of its financial results prepared in accordance with generally accepted accounting principles (GAAP), the Company’s earnings press release contains certain financial measures that are not presented in accordance with GAAP. Management believes certain non-GAAP measures may provide financial statement users with meaningful supplemental information for comparisons within the industry. These non-GAAP financial measures may include, but are not limited to Net Income, excluding certain items, Cash flow from operations before changes in working capital, realized prices, Net debt and Cash margin.</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Adjusted net income comparable to analysts’ estimates as set forth in this release represents income or loss from operations before income taxes adjusted for certain non-cash items (detailed in the accompanying table) less income taxes. We believe adjusted net income comparable to analysts’ estimates is calculated on the same basis as analysts’ estimates and that many investors use this published research in making investment decisions and evaluating operational trends of the Company and its performance relative to other oil and gas producing companies. Diluted earnings per share (adjusted) as set forth in this release represents adjusted net income comparable to analysts’ estimates on a diluted per share basis. A table is included which reconciles income or loss from operations to adjusted net income comparable to analysts’ estimates and diluted earnings per share (adjusted). On its website, the Company provides additional comparative information on prior periods.</w:t>
      </w:r>
    </w:p>
    <w:p>
      <w:pPr>
        <w:sectPr>
          <w:pgSz w:w="11900" w:h="16838" w:orient="portrait"/>
          <w:cols w:equalWidth="0" w:num="1">
            <w:col w:w="10960"/>
          </w:cols>
          <w:pgMar w:left="440" w:top="270" w:right="499" w:bottom="1440" w:gutter="0" w:footer="0" w:header="0"/>
        </w:sectPr>
      </w:pPr>
    </w:p>
    <w:bookmarkStart w:id="7" w:name="page8"/>
    <w:bookmarkEnd w:id="7"/>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 from operations before changes in working capital represents net cash provided by operations before changes in working capital and exploration expense adjusted for certain non-cash compensation items. Cash flow from operations before changes in working capital (sometimes referred to as “adjusted cash flow”) is widely accepted by the investment community as a financial indicator of an oil and gas company’s ability to generate cash to internally fund exploration and development activities and to service debt. Cash flow from operations before changes in working capital is also useful because it is widely used by professional research analysts in valuing, comparing, rating and providing investment recommendations of companies in the oil and gas exploration and production industry. In turn, many investors use this published research in making investment decisions. Cash flow from operations before changes in working capital is not a measure of financial performance under GAAP and should not be considered as an alternative to cash flows from operations, investing, or financing activities as an indicator of cash flows, or as a measure of liquidity. A table is included which reconciles net cash provided by operations to cash flow from operations before changes in working capital as used in this release. On its website, the Company provides additional comparative information on prior periods for cash flow, cash margins and non-GAAP earnings as used in this release.</w:t>
      </w:r>
    </w:p>
    <w:p>
      <w:pPr>
        <w:spacing w:after="0" w:line="1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cash prices realized for oil and natural gas production, including the amounts realized on cash-settled derivatives and net of transportation, gathering, processing and compression expense, is a critical component in the Company’s performance tracked by investors and professional research analysts in valuing, comparing, rating and providing investment recommendations and forecasts of companies in the oil and gas exploration and production industry. In turn, many investors use this published research in making investment decisions. Due to the GAAP disclosures of various derivative transactions and third-party transportation, gathering, processing and compression expense, such information is now reported in various lines of the income statement. The Company believes that it is important to furnish a table reflecting the details of the various components of each income statement line to better inform the reader of the details of each amount and provide a summary of the realized cash-settled amounts and third-party transportation, gathering, processing and compression expense, which were historically reported as natural gas, NGLs and oil sales. This information is intended to bridge the gap between various readers’ understanding and fully disclose the information needed.</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debt is calculated as total debt less cash and cash equivalents. The Company believes this measure is helpful to investors and industry analysts who utilize Net debt for comparative purposes across the industry.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discloses in this release the detailed components of many of the single line items shown in the GAAP financial statements included in the Company’s Annual or Quarterly Reports on Form 10-K or 10-Q. The Company believes that it is important to furnish this detail of the various components comprising each line of the Statements of Operations to better inform the reader of the details of each amount, the changes between periods and the effect on its financial results.</w:t>
      </w:r>
    </w:p>
    <w:p>
      <w:pPr>
        <w:spacing w:after="0" w:line="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believe that the presentation of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value of our proved reserves is a relevant and useful metric for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is based on prices and discount factors that are consistent for all companies. Because of this, PV</w:t>
      </w:r>
      <w:r>
        <w:rPr>
          <w:rFonts w:ascii="Times New Roman" w:cs="Times New Roman" w:eastAsia="Times New Roman" w:hAnsi="Times New Roman"/>
          <w:sz w:val="26"/>
          <w:szCs w:val="26"/>
          <w:color w:val="auto"/>
          <w:vertAlign w:val="subscript"/>
        </w:rPr>
        <w:t>10</w:t>
      </w:r>
      <w:r>
        <w:rPr>
          <w:rFonts w:ascii="Times New Roman" w:cs="Times New Roman" w:eastAsia="Times New Roman" w:hAnsi="Times New Roman"/>
          <w:sz w:val="18"/>
          <w:szCs w:val="18"/>
          <w:color w:val="auto"/>
        </w:rPr>
        <w:t xml:space="preserve"> can be used within the industry and by credit and security analysts to evaluate estimated net cash flows from proved reserves on a more comparable basis.</w:t>
      </w:r>
    </w:p>
    <w:p>
      <w:pPr>
        <w:spacing w:after="0" w:line="196"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RANGE RESOURCES CORPORATION (NYSE: RRC) </w:t>
      </w:r>
      <w:r>
        <w:rPr>
          <w:rFonts w:ascii="Times New Roman" w:cs="Times New Roman" w:eastAsia="Times New Roman" w:hAnsi="Times New Roman"/>
          <w:sz w:val="17"/>
          <w:szCs w:val="17"/>
          <w:color w:val="auto"/>
        </w:rPr>
        <w:t>is a leading U.S. independent natural gas and NGL producer with operations focused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Appalachian Basin. The Company is headquartered in Fort Worth, Texas. More information about Range can be found at </w:t>
      </w:r>
      <w:r>
        <w:rPr>
          <w:rFonts w:ascii="Times New Roman" w:cs="Times New Roman" w:eastAsia="Times New Roman" w:hAnsi="Times New Roman"/>
          <w:sz w:val="17"/>
          <w:szCs w:val="17"/>
          <w:u w:val="single" w:color="auto"/>
          <w:color w:val="auto"/>
        </w:rPr>
        <w:t>www.rangeresources.com</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release may include statements regarding the proposed transaction (the “proposed transaction”) between EQT Corporation (“EQT”) and Range Resources Corporation (“Range”),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ectPr>
          <w:pgSz w:w="11900" w:h="16838" w:orient="portrait"/>
          <w:cols w:equalWidth="0" w:num="1">
            <w:col w:w="11000"/>
          </w:cols>
          <w:pgMar w:left="440" w:top="270"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contained herein reflect the current views of EQT and Range about future events. Although Range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release due to a number of factors, including, but not limited to: the occurrence of any event, change or other circumstances that could give rise to the termination of the merger agreement related to the proposed transaction (the “Merger Agreement”); the possibility that shareholders of EQT may not approve the issuance of EQT shares required in the proposed transaction; the possibility that the shareholders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the combined company’s ability to identify and mitigate the risks and hazards inherent in operating in the global energy industry; and other factors detailed in EQT’s and Range’s Annual Reports on Form 10-K for the year ended December 31, 2025 and subsequent Quarterly Reports on Form 10-Q and Current Reports on Form 8-K.</w:t>
      </w:r>
    </w:p>
    <w:p>
      <w:pPr>
        <w:spacing w:after="0" w:line="20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release.</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Any forward-looking statement speaks only as of the date on which such statement is made. EQT and Range undertake no obligation to publicly correct or update the forward-looking statements in this release,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SEC permits oil and gas companies, in filings made with the SEC, to disclose proved reserves, which are estimates that geological and engineering data demonstrate with reasonable certainty to be recoverable in future years from known reservoirs under existing economic and operating conditions as well as the option to disclose probable and possible reserves. Range has elected not to disclose its probable and possible reserves in its filings with the SEC. Range uses certain broader terms such as “resource potential,” “unrisked resource potential,” “unproved resource potential” or “upside” or other descriptions of volumes of resources potentially recoverable through additional drilling or recovery techniques that may include probable and possible reserves as defined by the SEC’s guidelines. Range has not attempted to distinguish probable and possible reserves from these broader classifications. The SEC’s rules prohibit us from including in filings with the SEC these broader classifications of reserves. These estimates are by their nature more speculative than estimates of proved, probable and possible reserves and accordingly are subject to substantially greater risk of actually being realized. Unproved resource potential refers to Range’s internal estimates of hydrocarbon quantities that may be potentially discovered through exploratory drilling or recovered with additional drilling or recovery techniques and have not been</w:t>
      </w:r>
    </w:p>
    <w:p>
      <w:pPr>
        <w:sectPr>
          <w:pgSz w:w="11900" w:h="16838" w:orient="portrait"/>
          <w:cols w:equalWidth="0" w:num="1">
            <w:col w:w="10980"/>
          </w:cols>
          <w:pgMar w:left="440" w:top="268" w:right="47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reviewed by independent engineers. Unproved resource potential does not constitute reserves within the meaning of the Society of Petroleum Engineer’s Petroleum Resource Management System and does not include proved reserves. Area wide unproven resource potential has not been fully risked by Range’s management. “EUR”, or estimated ultimate recovery, refers to our management’s estimates of hydrocarbon quantities that may be recovered from a well completed as a producer in the area. These quantities may not necessarily constitute or represent reserves within the meaning of the Society of Petroleum Engineer’s Petroleum Resource Management System or the SEC’s oil and natural gas disclosure rules. Actual quantities that may be recovered from Range’s interests could differ substantially. Factors affecting ultimate recovery include the scope of Range’s drilling program, which will be directly affected by the availability of capital, drilling and production costs, commodity prices, availability of drilling services and equipment, drilling results, lease expirations, transportation constraints, regulatory approvals, field spacing rules, recoveries of gas in place, length of horizontal laterals, actual drilling results, including geological and mechanical factors affecting recovery rates and other factors. Estimates of resource potential may change significantly as development of our resource plays provides additional data.</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addition, our production forecasts and expectations for future periods are dependent upon many assumptions, including estimates of production decline rates from existing wells and the undertaking and outcome of future drilling activity, which may be affected by significant commodity price or drilling cost changes. Investors are urged to consider closely the disclosure in our most recent Annual Report on Form 10-K, available from our website at </w:t>
      </w:r>
      <w:r>
        <w:rPr>
          <w:rFonts w:ascii="Times New Roman" w:cs="Times New Roman" w:eastAsia="Times New Roman" w:hAnsi="Times New Roman"/>
          <w:sz w:val="18"/>
          <w:szCs w:val="18"/>
          <w:i w:val="1"/>
          <w:iCs w:val="1"/>
          <w:u w:val="single" w:color="auto"/>
          <w:color w:val="auto"/>
        </w:rPr>
        <w:t>www.rangeresources.com</w:t>
      </w:r>
      <w:r>
        <w:rPr>
          <w:rFonts w:ascii="Times New Roman" w:cs="Times New Roman" w:eastAsia="Times New Roman" w:hAnsi="Times New Roman"/>
          <w:sz w:val="18"/>
          <w:szCs w:val="18"/>
          <w:i w:val="1"/>
          <w:iCs w:val="1"/>
          <w:color w:val="auto"/>
        </w:rPr>
        <w:t xml:space="preserve"> or by written request to 100 Throckmorton Street, Suite 1200, Fort Worth, Texas 76102. You can also obtain this Form 10-K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or by calling the SEC at 1-800-SEC-0330.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Range Resources Corporation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Range Investor Contacts:</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Laith Sando</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817-869-4267</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Matt Schmid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817-869-1538</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Range Media Contact: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Mark Windle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724-873-3223</w:t>
      </w:r>
    </w:p>
    <w:p>
      <w:pPr>
        <w:sectPr>
          <w:pgSz w:w="11900" w:h="16838" w:orient="portrait"/>
          <w:cols w:equalWidth="0" w:num="1">
            <w:col w:w="10980"/>
          </w:cols>
          <w:pgMar w:left="440" w:top="268" w:right="47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on GAAP reported earnings with additional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details of items included in each line in Form 10-Q</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and other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sales (a)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737,919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611,491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2,450,258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2,070,049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92,946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and marketing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161,248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131,224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ARO settlement gain (b)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assets (b)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748,528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2,710,567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2,295,357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85,796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70,757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operating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gathering, processing and compression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349,934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301,110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990,075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911,933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20,103</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163,389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 stock-based compensation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108,620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99,563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 stock-based compensation (c)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 lawsuit settlements and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45,970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76,615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 amortization of debt issuance costs (e)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283,657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565,184</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1,804,752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1,700,236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183,344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905,815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595,121</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182,334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110,561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193,539</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175,323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144,307</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712,276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478,937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as reported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237,378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234,419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238,523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239,026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235,958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240,255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separate natural gas, NGLs and oil sales information table.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in the 10-Q.</w:t>
      </w:r>
    </w:p>
    <w:p>
      <w:pPr>
        <w:spacing w:after="0" w:line="9"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stock compensation and amortization, which have been reflected in the categories associated with the direct personnel costs, are combined with the cash costs in the 10-Q.</w:t>
      </w: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market value of the vested Company stock held in the deferred compensation plan.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in the 10-Q.</w:t>
      </w:r>
    </w:p>
    <w:p>
      <w:pPr>
        <w:sectPr>
          <w:pgSz w:w="11900" w:h="16838" w:orient="portrait"/>
          <w:cols w:equalWidth="0" w:num="1">
            <w:col w:w="11024"/>
          </w:cols>
          <w:pgMar w:left="436" w:top="266"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3"/>
                <w:szCs w:val="13"/>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345,035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390,835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69,397</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properties, net (successful efforts method)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6,941,366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7"/>
              </w:rPr>
              <w:t>6,708,366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130,583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173,477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74,938</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$ 7,644,426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7,421,948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625,590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658,783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debt, net of unamortized debt issuance costs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 net of unamortized debt issuance costs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496,434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7"/>
              </w:rPr>
              <w:t>1,091,634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701,601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115,515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retirement obligations and other liabilities</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153,081</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 contract obligation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166,225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202,586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2,772,475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3,103,267</w:t>
            </w:r>
          </w:p>
        </w:tc>
        <w:tc>
          <w:tcPr>
            <w:tcW w:w="0" w:type="dxa"/>
            <w:vAlign w:val="bottom"/>
          </w:tcPr>
          <w:p>
            <w:pPr>
              <w:spacing w:after="0"/>
              <w:rPr>
                <w:sz w:val="1"/>
                <w:szCs w:val="1"/>
                <w:color w:val="auto"/>
              </w:rPr>
            </w:pP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and retained deficit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5,724,195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5,064,743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held in treasury</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(852,633)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(746,486)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4,871,951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4,318,681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$ 7,644,426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7,421,948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AS REPORTED</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NET DEBT, a non-GAAP measure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24"/>
                <w:szCs w:val="24"/>
                <w:color w:val="auto"/>
              </w:rPr>
            </w:pPr>
          </w:p>
        </w:tc>
        <w:tc>
          <w:tcPr>
            <w:tcW w:w="260" w:type="dxa"/>
            <w:vAlign w:val="bottom"/>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financing costs, as reported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$1,198,334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 as reported</w:t>
            </w:r>
          </w:p>
        </w:tc>
        <w:tc>
          <w:tcPr>
            <w:tcW w:w="180" w:type="dxa"/>
            <w:vAlign w:val="bottom"/>
          </w:tcPr>
          <w:p>
            <w:pPr>
              <w:spacing w:after="0"/>
              <w:rPr>
                <w:sz w:val="18"/>
                <w:szCs w:val="18"/>
                <w:color w:val="auto"/>
              </w:rPr>
            </w:pPr>
          </w:p>
        </w:tc>
        <w:tc>
          <w:tcPr>
            <w:tcW w:w="7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13,082</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cash and cash equivalents, as reported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debt, a non-GAAP measure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1,217,796</w:t>
            </w:r>
          </w:p>
        </w:tc>
        <w:tc>
          <w:tcPr>
            <w:tcW w:w="8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11"/>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4"/>
                <w:szCs w:val="1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175,323</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712,276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cash provided from continuing operations: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110,561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275,866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(58,118)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(98,229)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settlements on derivative financial instruments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98,072</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Divestiture contract obligation, including accretion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and stock-based compensation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36,378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(12,265)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(21,739)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(15,418)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(107,828)</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changes in working capital</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46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307,601</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1,161,752</w:t>
            </w:r>
          </w:p>
        </w:tc>
        <w:tc>
          <w:tcPr>
            <w:tcW w:w="1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913,818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FROM OPERATING</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ACTIVITIES, AS REPORTED, TO CASH FLOW FROM OPERATIONS BEFORE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a non-GAAP measure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operating activities, as reported</w:t>
            </w:r>
          </w:p>
        </w:tc>
        <w:tc>
          <w:tcPr>
            <w:tcW w:w="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1,161,752</w:t>
            </w:r>
          </w:p>
        </w:tc>
        <w:tc>
          <w:tcPr>
            <w:tcW w:w="1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changes in working capital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34,428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46,431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41,833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Lawsuit settlements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compensation adjustment and 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 before changes in working capital - non-GAAP measure</w:t>
            </w:r>
          </w:p>
        </w:tc>
        <w:tc>
          <w:tcPr>
            <w:tcW w:w="4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347,193</w:t>
            </w:r>
          </w:p>
        </w:tc>
        <w:tc>
          <w:tcPr>
            <w:tcW w:w="2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279,254</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1,224,637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977,156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WEIGHTED AVERAGE SHARES OUTSTANDING</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held by deferred compensation plan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basic</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237,378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239,063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stock options under treasury method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dilutive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235,035</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ind w:left="390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NATURAL GAS, NGLs AND OIL SALES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AND DERIVATIVE FAIR VALUE INCOME (LOSS)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CALCULATED CASH REALIZED NATURAL GAS, NGLs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OIL PRICES WITH AND WITHOUT THIRD-PARTY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TRANSPORTATION, GATHERING, PROCESSING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COMPRESSION COSTS, a non-GAAP measure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unit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Natural gas, NGLs and Oil Sales components: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371,772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361,124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1,415,649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1,249,456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320,962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224,376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45,185</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82,529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Natural Gas, NGLs and Oil Sales, as reported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737,919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611,491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2,450,258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2,070,049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 Fair Value Income, as reported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settlements on derivative financial instruments - (gain)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(56,384)</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(90,263)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change in fair value related to commodity derivatives</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settlement, a non-GAAP measure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30,913</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Transportation, gathering, processing and compression</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components: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157,193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491,422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469,416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179,054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142,815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439,862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transportation, gathering, processing and compression,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349,934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301,110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990,075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911,933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Natural gas, NGL and Oil sales, including cash-settled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(c)</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sales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428,156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417,544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1,479,153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1,339,719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320,165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228,376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885,030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743,160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41,453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85,242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673,524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2,488,107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2,168,121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Production of natural gas, NGLs and oil during the periods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156,406,269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141,133,949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433,149,336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413,394,538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(bbls)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11,653,966</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10,158,612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32,139,618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30,107,652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597,916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479,142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1,928,670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1,483,512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(mcfe)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229,917,561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204,960,473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637,559,064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602,941,522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of natural gas, NGLs and oil - average per day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1,700,068</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1,534,065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1,586,628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1,514,266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(bbls)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126,674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110,420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117,728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110,284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(bbls)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equivalent (mcfe)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2,499,104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2,227,831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2,335,381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2,208,577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prices, excluding derivative settlements and before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transportation costs: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24.51</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54.25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Average prices, including derivative settlements before third-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transportation costs: (c)</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prices, including derivative settlements and after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third-party transportation costs: (d)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NGLs (per bbl)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55.31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55.67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Gas equivalent (per mcfe) (b)</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gathering and compression expense per mcfe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volumes sold regardless of when produced.</w:t>
      </w:r>
    </w:p>
    <w:p>
      <w:pPr>
        <w:spacing w:after="0" w:line="27" w:lineRule="exact"/>
        <w:rPr>
          <w:rFonts w:ascii="Times New Roman" w:cs="Times New Roman" w:eastAsia="Times New Roman" w:hAnsi="Times New Roman"/>
          <w:sz w:val="18"/>
          <w:szCs w:val="18"/>
          <w:color w:val="auto"/>
        </w:rPr>
      </w:pPr>
    </w:p>
    <w:p>
      <w:pPr>
        <w:ind w:left="424" w:right="4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NGLs are converted at the rate of one barrel equals six mcfe based upon the approximate relative energy content of oil to natural gas, which is not necessarily indicative of the relationship of oil and natural gas prices.</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third-party transportation, gathering, processing and compression costs.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transportation, gathering, processing and compression costs.</w:t>
      </w:r>
    </w:p>
    <w:p>
      <w:pPr>
        <w:sectPr>
          <w:pgSz w:w="11900" w:h="16838" w:orient="portrait"/>
          <w:cols w:equalWidth="0" w:num="1">
            <w:col w:w="11024"/>
          </w:cols>
          <w:pgMar w:left="436" w:top="266" w:right="439" w:bottom="0" w:gutter="0" w:footer="0" w:header="0"/>
        </w:sectPr>
      </w:pPr>
    </w:p>
    <w:bookmarkStart w:id="14" w:name="page15"/>
    <w:bookmarkEnd w:id="14"/>
    <w:p>
      <w:pPr>
        <w:ind w:left="390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INCOME BEFORE INCOME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TAXES AS REPORTED TO INCOME BEFORE INCOME TAXES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EXCLUDING CERTAIN ITEMS, a non-GAAP measure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3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905,815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595,121</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certain special items: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 - 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 stock-based compensation</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expenses - 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&amp; administrative - stock-based compensation</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 non-cash adjustment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as adjusted</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241,529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175,551</w:t>
            </w:r>
          </w:p>
        </w:tc>
        <w:tc>
          <w:tcPr>
            <w:tcW w:w="22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681,877</w:t>
            </w:r>
          </w:p>
        </w:tc>
        <w:tc>
          <w:tcPr>
            <w:tcW w:w="2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as adjusted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47,946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184,584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excluding certain items, a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22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736,541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525,045</w:t>
            </w:r>
          </w:p>
        </w:tc>
        <w:tc>
          <w:tcPr>
            <w:tcW w:w="2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common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shares outstanding, if dilutive</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235,035</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239,026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235,958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6"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are estimated to be approximately 21% for 2026 and 23% for 2025</w:t>
      </w:r>
    </w:p>
    <w:p>
      <w:pPr>
        <w:sectPr>
          <w:pgSz w:w="11900" w:h="16838" w:orient="portrait"/>
          <w:cols w:equalWidth="0" w:num="1">
            <w:col w:w="11024"/>
          </w:cols>
          <w:pgMar w:left="436" w:top="266" w:right="439" w:bottom="1440" w:gutter="0" w:footer="0" w:header="0"/>
        </w:sectPr>
      </w:pPr>
    </w:p>
    <w:bookmarkStart w:id="15" w:name="page16"/>
    <w:bookmarkEnd w:id="15"/>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EXCLUDING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ITEMS AND ADJUSTED EARNINGS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non-GAAP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20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6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478,937</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certain special items: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9,336</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33,717</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impact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(40,648)</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excluding certain items, a non-GAAP measure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525,045</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diluted share, 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0.75</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0.60</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certain special items per diluted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the sale of assets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ARO settlement gain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seismic data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related to derivatives prior to settlement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(0.13)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0.02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0.03</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rounding differences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impact</w:t>
            </w:r>
          </w:p>
        </w:tc>
        <w:tc>
          <w:tcPr>
            <w:tcW w:w="200" w:type="dxa"/>
            <w:vAlign w:val="bottom"/>
          </w:tcPr>
          <w:p>
            <w:pPr>
              <w:spacing w:after="0"/>
              <w:rPr>
                <w:sz w:val="18"/>
                <w:szCs w:val="18"/>
                <w:color w:val="auto"/>
              </w:rPr>
            </w:pP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6"/>
              </w:rPr>
              <w:t>(0.01)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share impact (rabbi trust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diluted share, excluding certain items, a non-GAAP measure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5"/>
              </w:rPr>
              <w:t>0.81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5"/>
              </w:rPr>
              <w:t>0.57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 a non-GAAP measure: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5"/>
              </w:rPr>
              <w:t>0.82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left="131"/>
              <w:spacing w:after="0"/>
              <w:rPr>
                <w:sz w:val="20"/>
                <w:szCs w:val="20"/>
                <w:color w:val="auto"/>
              </w:rPr>
            </w:pPr>
            <w:r>
              <w:rPr>
                <w:rFonts w:ascii="Times New Roman" w:cs="Times New Roman" w:eastAsia="Times New Roman" w:hAnsi="Times New Roman"/>
                <w:sz w:val="18"/>
                <w:szCs w:val="18"/>
                <w:color w:val="auto"/>
                <w:w w:val="95"/>
              </w:rPr>
              <w:t>0.57</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5"/>
              </w:rPr>
              <w:t>0.81</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5"/>
              </w:rPr>
              <w:t>0.57</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r>
    </w:tbl>
    <w:p>
      <w:pPr>
        <w:sectPr>
          <w:pgSz w:w="11900" w:h="16838" w:orient="portrait"/>
          <w:cols w:equalWidth="0" w:num="1">
            <w:col w:w="11020"/>
          </w:cols>
          <w:pgMar w:left="440" w:top="266" w:right="439" w:bottom="1440" w:gutter="0" w:footer="0" w:header="0"/>
        </w:sectPr>
      </w:pPr>
    </w:p>
    <w:bookmarkStart w:id="16" w:name="page17"/>
    <w:bookmarkEnd w:id="16"/>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 RESOURCES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MARGIN PER MCFE, a non-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13"/>
                <w:szCs w:val="13"/>
                <w:color w:val="auto"/>
              </w:rPr>
            </w:pPr>
          </w:p>
        </w:tc>
        <w:tc>
          <w:tcPr>
            <w:tcW w:w="22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NGLs and oil sales, as reported</w:t>
            </w:r>
          </w:p>
        </w:tc>
        <w:tc>
          <w:tcPr>
            <w:tcW w:w="3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737,919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611,491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2,450,258</w:t>
            </w:r>
          </w:p>
        </w:tc>
        <w:tc>
          <w:tcPr>
            <w:tcW w:w="14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2,070,049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non-cash fair value (gain)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(6,263)</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and marketing,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46,523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131,224</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(gain) loss on sale of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ARO settlement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Cash revenues and other income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2,304,534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operating,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72,323</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direct operating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gathering and compression,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349,934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911,933</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other than income,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Brokered natural gas, NGLs and marketing,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142,068</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brokered natural gas, NGLs and marketing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47,691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128,549</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G&amp;A 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(9,952)</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(28,885)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lawsuit settlements and other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as reported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80,225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amortization of debt issuance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23"/>
        </w:trPr>
        <w:tc>
          <w:tcPr>
            <w:tcW w:w="6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Cash expenses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486,592</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1,321,755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a non-GAAP measure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1,236,202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982,779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Mmcfe produced during period</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per mcfe</w:t>
            </w:r>
          </w:p>
        </w:tc>
        <w:tc>
          <w:tcPr>
            <w:tcW w:w="3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INCOME BEFORE INCOME TAXES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CASH MARGIN, a non-GAAP measure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unit data)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80" w:type="dxa"/>
            <w:vAlign w:val="bottom"/>
          </w:tcPr>
          <w:p>
            <w:pPr>
              <w:spacing w:after="0"/>
              <w:rPr>
                <w:sz w:val="24"/>
                <w:szCs w:val="24"/>
                <w:color w:val="auto"/>
              </w:rPr>
            </w:pPr>
          </w:p>
        </w:tc>
        <w:tc>
          <w:tcPr>
            <w:tcW w:w="22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 as reported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income before income taxes to cash margin: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ARO settlements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fair value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(58,118)</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receipts on derivative settlements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98,072</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5,557</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Lawsuit settlements and other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98"/>
        </w:trPr>
        <w:tc>
          <w:tcPr>
            <w:tcW w:w="6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Stock-based compensation (direct operating, brokered natural gas, NGLs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marketing, exploration and general and administrative)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11,561</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36,042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Bad debt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 amortization of debt issuance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102,049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283,657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275,866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margin, a non-GAAP measure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1,236,202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982,779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for Investors and Shareholders; 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Range and EQT also intend to file other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shareholders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Range will be available free of charge on Range’s website at www. ir.rangeresources.com. Copies of the documents filed with the SEC by EQT will be available free of charge on EQT’s website at www.ir.eqt.com/investor-relations. The information included on, or accessible through, Range’s or EQT’s website is not incorporated by reference into this communication.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Range, EQT and their respective directors, executive officers and other members of management and employees may be deemed to be participants in the solicitation of proxies in connection with the proposed transaction contemplated by the joint proxy statement/prospectus.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w:t>
      </w:r>
      <w:hyperlink r:id="rId19">
        <w:r>
          <w:rPr>
            <w:rFonts w:ascii="Times New Roman" w:cs="Times New Roman" w:eastAsia="Times New Roman" w:hAnsi="Times New Roman"/>
            <w:sz w:val="18"/>
            <w:szCs w:val="18"/>
            <w:u w:val="single" w:color="auto"/>
            <w:color w:val="0000EE"/>
          </w:rPr>
          <w:t>https://www.sec.gov/ix?doc=/Archives/edgar/data/0000315852/000119312526067292/rrc-20251231.htm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its Definitive Proxy Statement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Schedule 14A that was filed with the SEC on March 31, 2026 (and which is available at </w:t>
      </w:r>
      <w:hyperlink r:id="rId20">
        <w:r>
          <w:rPr>
            <w:rFonts w:ascii="Times New Roman" w:cs="Times New Roman" w:eastAsia="Times New Roman" w:hAnsi="Times New Roman"/>
            <w:sz w:val="18"/>
            <w:szCs w:val="18"/>
            <w:u w:val="single" w:color="auto"/>
            <w:color w:val="0000EE"/>
          </w:rPr>
          <w:t>https://www.sec.gov/ix?doc=/Archives/edgar/data/0000315852/000119312526134699/rrc-20260325.htm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Range’s securities has changed since the filing of such proxy statement, such changes have been or will be reflected on Statements of Changes in Beneficial Ownership on Form 4 filed with the SEC. Information regarding EQT’s directors and executive officers and their ownership of EQT’s securities is set forth in EQT’s filings with the SEC, including EQT’s Annual Report on Form 10-K for the fiscal year ended December 31, 2025 (and which is available at </w:t>
      </w:r>
      <w:hyperlink r:id="rId21">
        <w:r>
          <w:rPr>
            <w:rFonts w:ascii="Times New Roman" w:cs="Times New Roman" w:eastAsia="Times New Roman" w:hAnsi="Times New Roman"/>
            <w:sz w:val="18"/>
            <w:szCs w:val="18"/>
            <w:u w:val="single" w:color="auto"/>
            <w:color w:val="0000EE"/>
          </w:rPr>
          <w:t>https://www.sec.gov/ix?doc=/Archives/edgar/data/0000033213/000003321326000018/eqt-20251231.htm</w:t>
        </w:r>
      </w:hyperlink>
      <w:r>
        <w:rPr>
          <w:rFonts w:ascii="Times New Roman" w:cs="Times New Roman" w:eastAsia="Times New Roman" w:hAnsi="Times New Roman"/>
          <w:sz w:val="18"/>
          <w:szCs w:val="18"/>
          <w:color w:val="000000"/>
        </w:rPr>
        <w:t xml:space="preserve">) and its Definitive Proxy Statement on Schedule 14A that was filed with the SEC on February 26, 2026 (and which is available at </w:t>
      </w:r>
      <w:hyperlink r:id="rId22">
        <w:r>
          <w:rPr>
            <w:rFonts w:ascii="Times New Roman" w:cs="Times New Roman" w:eastAsia="Times New Roman" w:hAnsi="Times New Roman"/>
            <w:sz w:val="18"/>
            <w:szCs w:val="18"/>
            <w:u w:val="single" w:color="auto"/>
            <w:color w:val="0000EE"/>
          </w:rPr>
          <w:t>https://www.sec.gov/ix?doc=/Archives/edgar/data/0000033213/000110465926020027/tm261383-1_def14a.htm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EQT’s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29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rFonts w:ascii="Times New Roman" w:cs="Times New Roman" w:eastAsia="Times New Roman" w:hAnsi="Times New Roman"/>
          <w:sz w:val="18"/>
          <w:szCs w:val="18"/>
          <w:color w:val="0000EE"/>
        </w:rPr>
      </w:pPr>
    </w:p>
    <w:p>
      <w:pPr>
        <w:spacing w:after="0" w:line="256" w:lineRule="auto"/>
        <w:rPr>
          <w:sz w:val="20"/>
          <w:szCs w:val="20"/>
          <w:color w:val="auto"/>
        </w:rPr>
      </w:pPr>
      <w:r>
        <w:rPr>
          <w:rFonts w:ascii="Times New Roman" w:cs="Times New Roman" w:eastAsia="Times New Roman" w:hAnsi="Times New Roman"/>
          <w:sz w:val="18"/>
          <w:szCs w:val="18"/>
          <w:color w:val="auto"/>
        </w:rPr>
        <w:t>This release relates to the proposed transaction. This release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document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19" Type="http://schemas.openxmlformats.org/officeDocument/2006/relationships/hyperlink" Target="http://www.sec.gov/ix?doc=/Archives/edgar/data/0000315852/000119312526067292/rrc-20251231.htm" TargetMode="External"/><Relationship Id="rId20" Type="http://schemas.openxmlformats.org/officeDocument/2006/relationships/hyperlink" Target="http://www.sec.gov/ix?doc=/Archives/edgar/data/0000315852/000119312526134699/rrc-20260325.htm" TargetMode="External"/><Relationship Id="rId21" Type="http://schemas.openxmlformats.org/officeDocument/2006/relationships/hyperlink" Target="http://www.sec.gov/ix?doc=/Archives/edgar/data/0000033213/000003321326000018/eqt-20251231.htm" TargetMode="External"/><Relationship Id="rId22" Type="http://schemas.openxmlformats.org/officeDocument/2006/relationships/hyperlink" Target="http://www.sec.gov/ix?doc=/Archives/edgar/data/0000033213/000110465926020027/tm26138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2026-10-28T06:07:20Z</dcterms:created>
  <dcterms:modified xsi:type="dcterms:W3CDTF">2026-10-28T06:07:20Z</dcterms:modified>
</cp:coreProperties>
</file>