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Range Resources Corporation</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001-12209)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Subject Company: Range Resources Corporation</w:t>
      </w:r>
    </w:p>
    <w:p>
      <w:pPr>
        <w:spacing w:after="0" w:line="21"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7"/>
          <w:szCs w:val="17"/>
          <w:b w:val="1"/>
          <w:bCs w:val="1"/>
          <w:color w:val="auto"/>
        </w:rPr>
        <w:t>(Commission File No.: 001-12209)</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email was sent to Range business partners on October 27,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RRC-EQT Transaction Business Partners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Range Business Partners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NAME, TITLE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Range Resources Corporate Update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October 27, 2026</w:t>
      </w:r>
    </w:p>
    <w:p>
      <w:pPr>
        <w:spacing w:after="0" w:line="20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announced that we have entered into an agreement to be acquired by EQT Corporation. Over the years, you have supported the Range mission, and we thank you for helping us build an industry-leading company that has proven to be innovative, resilient and successful for decades.</w:t>
      </w:r>
    </w:p>
    <w:p>
      <w:pPr>
        <w:spacing w:after="0" w:line="162" w:lineRule="exact"/>
        <w:rPr>
          <w:sz w:val="24"/>
          <w:szCs w:val="24"/>
          <w:color w:val="auto"/>
        </w:rPr>
      </w:pPr>
    </w:p>
    <w:p>
      <w:pPr>
        <w:jc w:val="both"/>
        <w:ind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decision was guided by a shared vision to deliver a new level of scale, efficiency and success. The result is what we expect to be the creation of America’s leading natural gas company with the largest natural gas marketing platform in the country. You can read more about the announcement in our press release </w:t>
      </w:r>
      <w:hyperlink r:id="rId9">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With EQT, we will scale our business, expand our reach and accelerate our mission to develop and deliver reliable natural gas and NGLs for customers and partners around the world. Bringing together our premium inventory, technical capabilities and diversified marketing portfolios, we expect to create the country’s largest and only vertically integrated natural gas producer with leading inventory depth and a low-cost structure. The combined business will have an operating footprint with nearly 3 million net acres, access to more than 3,700 miles of crucial midstream infrastructure and more than three decades of future drilling inventory. Together, we will have best-in-class, low-cost production inventory and expansive infrastructure to meet the needs of our customers. We expect to unlock new opportunities to work together as we scale our business and meet domestic and international demand.</w:t>
      </w:r>
    </w:p>
    <w:p>
      <w:pPr>
        <w:spacing w:after="0" w:line="173"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It’s important to remember that this is just the first step in the process. We expect the transaction to close during the first quarter of 2027, subject to the receipt of required regulatory approvals and clearances, approval by shareholders of both EQT and Range and the satisfaction of other customary closing conditions. Until then, Range and EQT will continue to operate as separate, independent companies. In the interim, we will continue to work with you as we always do. Please don’t hesitate to reach out to [your usual contact / me] with any questions.</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appreciate your partnership and continued support for Range. We look forward to working with you for years to come.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Statements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(the “proposed transaction”) between EQT Corporation (“EQT”) and Range Resources Corporation (“Range”),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Range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related to the proposed transaction (the “Merger Agreement”); the possibility that shareholders of EQT may not approve the issuance of EQT shares required in the proposed transaction; the possibility that the shareholders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the combined company’s ability to identify and mitigate the risks and hazards inherent in operating in the global energy industry; and other factors detailed in EQT’s and Range’s Annual Reports on Form 10-K for the year ended December 31, 2025 and subsequent Quarterly Reports on Form 10-Q and Current Reports on Form 8-K.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ectPr>
          <w:pgSz w:w="11900" w:h="16838" w:orient="portrait"/>
          <w:cols w:equalWidth="0" w:num="1">
            <w:col w:w="10980"/>
          </w:cols>
          <w:pgMar w:left="440" w:top="2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for Investors and Shareholders; Additional Information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Each of Range and EQT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shareholders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Range will be available free of charge on Range’s website at ir.rangeresources.com. Copies of the documents filed with the SEC by EQT will be available free of charge on EQT’s website at ir.eqt.com/investor-relations. The information included on, or accessible through, Range’s or EQT’s website is not incorporated by reference into this communication.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Range, EQT and their respective directors, executive officers and other members of management and employees may be deemed to be participants in the solicitation of proxies in connection with the proposed transaction contemplated by the joint proxy statement/prospectus.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w:t>
      </w:r>
      <w:hyperlink r:id="rId13">
        <w:r>
          <w:rPr>
            <w:rFonts w:ascii="Times New Roman" w:cs="Times New Roman" w:eastAsia="Times New Roman" w:hAnsi="Times New Roman"/>
            <w:sz w:val="18"/>
            <w:szCs w:val="18"/>
            <w:u w:val="single" w:color="auto"/>
            <w:color w:val="0000EE"/>
          </w:rPr>
          <w:t>https://www.sec.gov/ix?doc=/Archives/edgar/data/0000315852/000119312526067292/rrc-20251231.htm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its Definitive Proxy Statement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Schedule 14A that was filed with the SEC on March 31, 2026 (and which is available at </w:t>
      </w:r>
      <w:hyperlink r:id="rId14">
        <w:r>
          <w:rPr>
            <w:rFonts w:ascii="Times New Roman" w:cs="Times New Roman" w:eastAsia="Times New Roman" w:hAnsi="Times New Roman"/>
            <w:sz w:val="18"/>
            <w:szCs w:val="18"/>
            <w:u w:val="single" w:color="auto"/>
            <w:color w:val="0000EE"/>
          </w:rPr>
          <w:t>https://www.sec.gov/ix?doc=/Archives/edgar/data/0000315852/000119312526134699/rrc-20260325.htm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Range’s securities has changed since the filing of such proxy statement, such changes have been or will be reflected on Statements of Changes in Beneficial Ownership on Form 4 filed with the SEC. Information regarding EQT’s directors and executive officers and their ownership of EQT’s securities is set forth in EQT’s filings with the SEC, including EQT’s Annual Report on Form 10-K for the fiscal year ended December 31, 2025 (and which is available at </w:t>
      </w:r>
      <w:hyperlink r:id="rId15">
        <w:r>
          <w:rPr>
            <w:rFonts w:ascii="Times New Roman" w:cs="Times New Roman" w:eastAsia="Times New Roman" w:hAnsi="Times New Roman"/>
            <w:sz w:val="18"/>
            <w:szCs w:val="18"/>
            <w:u w:val="single" w:color="auto"/>
            <w:color w:val="0000EE"/>
          </w:rPr>
          <w:t>https://www.sec.gov/ix?doc=/Archives/edgar/data/0000033213/000003321326000018/eqt-20251231.htm</w:t>
        </w:r>
      </w:hyperlink>
      <w:r>
        <w:rPr>
          <w:rFonts w:ascii="Times New Roman" w:cs="Times New Roman" w:eastAsia="Times New Roman" w:hAnsi="Times New Roman"/>
          <w:sz w:val="18"/>
          <w:szCs w:val="18"/>
          <w:color w:val="000000"/>
        </w:rPr>
        <w:t xml:space="preserve">) and its Definitive Proxy Statement on Schedule 14A that was filed with the SEC on February 26, 2026 (and which is available at </w:t>
      </w:r>
      <w:hyperlink r:id="rId16">
        <w:r>
          <w:rPr>
            <w:rFonts w:ascii="Times New Roman" w:cs="Times New Roman" w:eastAsia="Times New Roman" w:hAnsi="Times New Roman"/>
            <w:sz w:val="18"/>
            <w:szCs w:val="18"/>
            <w:u w:val="single" w:color="auto"/>
            <w:color w:val="0000EE"/>
          </w:rPr>
          <w:t>https://www.sec.gov/ix?doc=/Archives/edgar/data/0000033213/000110465926020027/tm261383-1_def14a.htm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 To the extent such person’s ownership</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EQT’s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29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rFonts w:ascii="Times New Roman" w:cs="Times New Roman" w:eastAsia="Times New Roman" w:hAnsi="Times New Roman"/>
          <w:sz w:val="18"/>
          <w:szCs w:val="18"/>
          <w:color w:val="0000EE"/>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document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www.sec.gov/Archives/edgar/data/315852/000119312526431025/d161989dex991.htm" TargetMode="External"/><Relationship Id="rId13" Type="http://schemas.openxmlformats.org/officeDocument/2006/relationships/hyperlink" Target="http://www.sec.gov/ix?doc=/Archives/edgar/data/0000315852/000119312526067292/rrc-20251231.htm" TargetMode="External"/><Relationship Id="rId14" Type="http://schemas.openxmlformats.org/officeDocument/2006/relationships/hyperlink" Target="http://www.sec.gov/ix?doc=/Archives/edgar/data/0000315852/000119312526134699/rrc-20260325.htm" TargetMode="External"/><Relationship Id="rId15" Type="http://schemas.openxmlformats.org/officeDocument/2006/relationships/hyperlink" Target="http://www.sec.gov/ix?doc=/Archives/edgar/data/0000033213/000003321326000018/eqt-20251231.htm" TargetMode="External"/><Relationship Id="rId16" Type="http://schemas.openxmlformats.org/officeDocument/2006/relationships/hyperlink" Target="http://www.sec.gov/ix?doc=/Archives/edgar/data/0000033213/000110465926020027/tm26138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2026-10-27T15:09:18Z</dcterms:created>
  <dcterms:modified xsi:type="dcterms:W3CDTF">2026-10-27T15:09:18Z</dcterms:modified>
</cp:coreProperties>
</file>