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28, 2026 (October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RANGE RESOURCES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444" w:type="dxa"/>
        <w:tblCellMar>
          <w:top w:w="0" w:type="dxa"/>
          <w:left w:w="0" w:type="dxa"/>
          <w:bottom w:w="0" w:type="dxa"/>
          <w:right w:w="0" w:type="dxa"/>
        </w:tblCellMar>
      </w:tblPr>
      <w:tr>
        <w:trPr>
          <w:trHeight w:val="214"/>
        </w:trPr>
        <w:tc>
          <w:tcPr>
            <w:tcW w:w="3800" w:type="dxa"/>
            <w:vAlign w:val="bottom"/>
          </w:tcPr>
          <w:p>
            <w:pPr>
              <w:jc w:val="center"/>
              <w:ind w:right="8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001-12209</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34-1312571</w:t>
            </w:r>
          </w:p>
        </w:tc>
      </w:tr>
      <w:tr>
        <w:trPr>
          <w:trHeight w:val="148"/>
        </w:trPr>
        <w:tc>
          <w:tcPr>
            <w:tcW w:w="3800" w:type="dxa"/>
            <w:vAlign w:val="bottom"/>
          </w:tcPr>
          <w:p>
            <w:pPr>
              <w:jc w:val="center"/>
              <w:ind w:right="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120" w:type="dxa"/>
            <w:vAlign w:val="bottom"/>
          </w:tcPr>
          <w:p>
            <w:pPr>
              <w:ind w:left="9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00" w:type="dxa"/>
            <w:vAlign w:val="bottom"/>
          </w:tcPr>
          <w:p>
            <w:pPr>
              <w:jc w:val="center"/>
              <w:ind w:right="8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12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800" w:type="dxa"/>
            <w:vAlign w:val="bottom"/>
          </w:tcPr>
          <w:p>
            <w:pPr>
              <w:jc w:val="center"/>
              <w:ind w:right="879"/>
              <w:spacing w:after="0"/>
              <w:rPr>
                <w:sz w:val="20"/>
                <w:szCs w:val="20"/>
                <w:color w:val="auto"/>
              </w:rPr>
            </w:pPr>
            <w:r>
              <w:rPr>
                <w:rFonts w:ascii="Times New Roman" w:cs="Times New Roman" w:eastAsia="Times New Roman" w:hAnsi="Times New Roman"/>
                <w:sz w:val="18"/>
                <w:szCs w:val="18"/>
                <w:b w:val="1"/>
                <w:bCs w:val="1"/>
                <w:color w:val="auto"/>
                <w:w w:val="99"/>
              </w:rPr>
              <w:t>100 Throckmorton Street, Suite 1200</w:t>
            </w:r>
          </w:p>
        </w:tc>
        <w:tc>
          <w:tcPr>
            <w:tcW w:w="31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3800" w:type="dxa"/>
            <w:vAlign w:val="bottom"/>
          </w:tcPr>
          <w:p>
            <w:pPr>
              <w:jc w:val="center"/>
              <w:ind w:right="879"/>
              <w:spacing w:after="0"/>
              <w:rPr>
                <w:sz w:val="20"/>
                <w:szCs w:val="20"/>
                <w:color w:val="auto"/>
              </w:rPr>
            </w:pPr>
            <w:r>
              <w:rPr>
                <w:rFonts w:ascii="Times New Roman" w:cs="Times New Roman" w:eastAsia="Times New Roman" w:hAnsi="Times New Roman"/>
                <w:sz w:val="18"/>
                <w:szCs w:val="18"/>
                <w:b w:val="1"/>
                <w:bCs w:val="1"/>
                <w:color w:val="auto"/>
                <w:w w:val="97"/>
              </w:rPr>
              <w:t>Fort Worth, Texas</w:t>
            </w:r>
          </w:p>
        </w:tc>
        <w:tc>
          <w:tcPr>
            <w:tcW w:w="31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76102</w:t>
            </w:r>
          </w:p>
        </w:tc>
      </w:tr>
      <w:tr>
        <w:trPr>
          <w:trHeight w:val="190"/>
        </w:trPr>
        <w:tc>
          <w:tcPr>
            <w:tcW w:w="3800" w:type="dxa"/>
            <w:vAlign w:val="bottom"/>
          </w:tcPr>
          <w:p>
            <w:pPr>
              <w:jc w:val="center"/>
              <w:ind w:right="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(817) 870-2601</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right="2560" w:hanging="444"/>
        <w:spacing w:after="0" w:line="458" w:lineRule="auto"/>
        <w:tabs>
          <w:tab w:leader="none" w:pos="43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RRC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On October 27, 2026 Range Resources Corporation (“Range”) issued a press release announcing its third quarter 2026 results. A copy of this press release is being furnished as an exhibit to this report on Form 8-K.</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October 27, 2026</w:t>
      </w:r>
    </w:p>
    <w:p>
      <w:pPr>
        <w:spacing w:after="0" w:line="117"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121"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This Current Report on Form 8-K (the “Report”) contains “forward-looking statements” within the meaning of the federal securities laws. Statements that do not relate strictly to historical or current facts are forward-looking and are usually identified by the use of words such as “anticipates,” “believes,” “cause,” “continue,” “could,” “depend,” “develop,” “estimates,” “expects,” “forecasts,” “goal,” “guidance,” “have,” “impact,” “implement,” “increase,” “intends,” “lead,” “maintain,” “may,” “might,” “plans,” “potential,” “possible,” “projected,” “reduce,” “remain,” “result,” “scheduled,” “seek,” “should,” “will,” “would” and other similar words or expressions. The absence of such words or expressions does not necessarily mean the statements are not forward-looking. Without limiting the generality of the foregoing, forward-looking statements in this Report may include statements regarding the proposed transaction (the “proposed transaction”) between EQT Corporation (“EQT”) and Range, the expected closing of the proposed transaction and the timing thereof and the pro forma combined company and its operations, strategies and plans, integration, debt levels and leverage ratio, capital expenditures, cash flows and anticipated uses thereof, synergies, opportunities and anticipated future performance, expected accretion to earnings and free cash flow and anticipated dividends. Information adjusted for the proposed transaction should not be considered a forecast of future results.</w:t>
      </w:r>
    </w:p>
    <w:p>
      <w:pPr>
        <w:spacing w:after="0" w:line="192" w:lineRule="exact"/>
        <w:rPr>
          <w:sz w:val="20"/>
          <w:szCs w:val="20"/>
          <w:color w:val="auto"/>
        </w:rPr>
      </w:pPr>
    </w:p>
    <w:p>
      <w:pPr>
        <w:ind w:right="20" w:firstLine="991"/>
        <w:spacing w:after="0" w:line="251" w:lineRule="auto"/>
        <w:rPr>
          <w:sz w:val="20"/>
          <w:szCs w:val="20"/>
          <w:color w:val="auto"/>
        </w:rPr>
      </w:pPr>
      <w:r>
        <w:rPr>
          <w:rFonts w:ascii="Times New Roman" w:cs="Times New Roman" w:eastAsia="Times New Roman" w:hAnsi="Times New Roman"/>
          <w:sz w:val="18"/>
          <w:szCs w:val="18"/>
          <w:color w:val="auto"/>
        </w:rPr>
        <w:t>Forward-looking statements contained herein reflect the current views of EQT and Range about future events. Although Range believes its forward-looking statements are based on reasonable expectations and assumptions, statements made regarding future results are not guarantees of future performance and are inherently subject to significant business, economic, competitive, regulatory and other risks and uncertainties, many of which are difficult to predict and beyond EQT’s and Range’s control. Actual outcomes and results may be materially different from the results stated or implied in the forward-looking statements included in this Report due to a number of factors, including, but not limited to: the occurrence of any event, change or other circumstances that could give rise to the termination of the merger agreement related to the proposed transaction (the “Merger Agreement”); the possibility that shareholders of EQT may not approve the issuance of EQT shares required in the proposed transaction; the possibility that the shareholders of Range may not adopt the Merger Agreement; the risk that EQT or Range may be unable to obtain governmental and regulatory approvals required for the proposed transaction, or required governmental and regulatory approvals may delay the proposed transaction or result in the imposition of conditions that could cause the parties to abandon the proposed transaction; the risk that the parties may not be able to satisfy the conditions to the proposed transaction in a timely manner or at all; risks related to disruption of management’s time from ongoing business operations due to the proposed transaction; the risk that any announcements relating to the proposed transaction could have adverse effects on the market price of EQT’s or Range’s common stock; the risk of any unexpected costs or expenses resulting from the proposed transaction; the risk of any litigation relating to the proposed transaction; the risk that the proposed transaction and its announcement could have an adverse effect on the ability of EQT and Range to retain and hire key personnel, on the ability of EQT or Range to attract third-party customers and maintain their relationships with derivatives and joint venture counterparties and on EQT’s and Range’s operating results and businesses generally; the risk that problems may arise in successfully integrating the businesses of EQT and Range,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the volatility in commodity prices for crude oil and natural gas; the effect of future regulatory or legislative actions on EQT and Range or the industry in which they operate, including the risk of new restrictions with respect to oil and natural gas development activities; the risk that the credit ratings of the combined business may be different from what EQT and Range expect; the ability of management to execute its plans to meet its goals and other risks inherent in EQT’s and Range’s businesses; public health crises and any related government policies and actions; the potential disruption or interruption of EQT’s or Range’s operations due to war, accidents, political events, civil unrest, severe weather, cyber threats, terrorist acts, or other natural or human causes beyond EQT’s or Range’s control; the combined company’s ability to identify and mitigate the risks and hazards inherent in operating in the global energy industry; and other factors detailed in EQT’s and Range’s Annual Reports on Form 10-K for the year ended December 31, 2025 and subsequent Quarterly Reports on Form 10-Q and Current Reports on Form 8-K.</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3" w:right="459" w:bottom="1440" w:gutter="0" w:footer="0" w:header="0"/>
        </w:sectPr>
      </w:pPr>
    </w:p>
    <w:bookmarkStart w:id="2" w:name="page3"/>
    <w:bookmarkEnd w:id="2"/>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All such factors are difficult to predict and are beyond EQT’s and Range’s control. Additional risks or uncertainties that are not currently known to EQT or Range, that EQT or Range currently deem to be immaterial, or that could apply to any company could also cause actual outcomes and results to differ materially from those included in the forward-looking statements in this Report.</w:t>
      </w:r>
    </w:p>
    <w:p>
      <w:pPr>
        <w:spacing w:after="0" w:line="176"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such statement is made. EQT and Range undertake no obligation to publicly correct or update the forward-looking statements in this Report, in other documents or on their respective websites to reflect new information, future events or otherwise, except as required by applicable law. All such statements are expressly qualified by this cautionary statement. Readers are cautioned not to place undue reliance on these forward-looking statements as a prediction of actual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 and Shareholders; Additional Information and Where to Find It</w:t>
      </w:r>
    </w:p>
    <w:p>
      <w:pPr>
        <w:spacing w:after="0" w:line="121"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EQT intends to file with the U.S. Securities and Exchange Commission (the “SEC”) a registration statement on Form S-4 (the “registration statement”) that will include a joint proxy statement of EQT and Range and that will also constitute a prospectus of EQT (the “joint proxy statement/prospectus”). Range and EQT also intend to file other documents regarding the proposed transaction with the SEC. This communication is not a substitute for the joint proxy statement/prospectus or the registration statement. BEFORE MAKING ANY VOTING OR INVESTMENT DECISION, INVESTORS AND SECURITY HOLDERS OF EQT AND RANGE ARE URGED TO READ THE REGISTRATION STATEMENT, THE JOINT PROXY STATEMENT/PROSPECTUS AND ALL OTHER RELEVANT DOCUMENTS FILED OR THAT MAY BE FILED WITH THE SEC IN CONNECTION WITH THE PROPOSED TRANSACTION, AS WELL AS ANY AMENDMENTS OR SUPPLEMENTS TO THOSE DOCUMENTS, CAREFULLY AND IN THEIR ENTIRETY IF AND WHEN THEY BECOME AVAILABLE BECAUSE THEY CONTAIN OR WILL CONTAIN IMPORTANT INFORMATION ABOUT EQT, RANGE, THE PROPOSED TRANSACTION, THE RISKS THERETO AND RELATED MATTERS. After the registration statement has been declared effective, a definitive joint proxy statement/prospectus will be mailed to the shareholders of EQT and the shareholders of Range. Investors and security holders will be able to obtain free copies of the registration statement and joint proxy statement/prospectus and other relevant documents filed or that will be filed with the SEC by EQT or Range through the website maintained by the SEC at www.sec.gov. Copies of the documents filed with the SEC by Range will be available free of charge on Range’s website at ir.rangeresources.com. Copies of the documents filed with the SEC by EQT will be available free of charge on EQT’s website at ir.eqt.com/investor-relations. The information included on, or accessible through, Range’s or EQT’s website is not incorporated by reference into this communication.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60" w:firstLine="991"/>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Range, EQT and their respective directors, executive officers and other members of management and employees may be deemed to be participants in the solicitation of proxies in connection with the proposed transaction contemplated by the joint proxy statement/prospectus. Information regarding Range’s directors and executive officers and their ownership of Range’s securities is set forth in Range’s filings with the SEC, including Range’s Annual Report on Form 10-K for the fiscal year ended December 31, 2025 that was filed with the SEC on February 24, 2026 (and which is available at </w:t>
      </w:r>
      <w:hyperlink r:id="rId19">
        <w:r>
          <w:rPr>
            <w:rFonts w:ascii="Times New Roman" w:cs="Times New Roman" w:eastAsia="Times New Roman" w:hAnsi="Times New Roman"/>
            <w:sz w:val="18"/>
            <w:szCs w:val="18"/>
            <w:u w:val="single" w:color="auto"/>
            <w:color w:val="0000EE"/>
          </w:rPr>
          <w:t>https://www.sec.gov/ix?doc=/Archives/edgar/data/0000315852/000119312526067292/rrc-20251231.htm</w:t>
        </w:r>
      </w:hyperlink>
      <w:r>
        <w:rPr>
          <w:rFonts w:ascii="Times New Roman" w:cs="Times New Roman" w:eastAsia="Times New Roman" w:hAnsi="Times New Roman"/>
          <w:sz w:val="18"/>
          <w:szCs w:val="18"/>
          <w:color w:val="auto"/>
        </w:rPr>
        <w:t xml:space="preserve">) and its Definitive Proxy Statement on Schedule 14A that was filed with the SEC on March 31, 2026 (and which is available at </w:t>
      </w:r>
      <w:hyperlink r:id="rId20">
        <w:r>
          <w:rPr>
            <w:rFonts w:ascii="Times New Roman" w:cs="Times New Roman" w:eastAsia="Times New Roman" w:hAnsi="Times New Roman"/>
            <w:sz w:val="18"/>
            <w:szCs w:val="18"/>
            <w:u w:val="single" w:color="auto"/>
            <w:color w:val="0000EE"/>
          </w:rPr>
          <w:t>https://www.sec.gov/ix?doc=/Archives/edgar/data/0000315852/000119312526134699/rrc-20260325.htm</w:t>
        </w:r>
      </w:hyperlink>
      <w:r>
        <w:rPr>
          <w:rFonts w:ascii="Times New Roman" w:cs="Times New Roman" w:eastAsia="Times New Roman" w:hAnsi="Times New Roman"/>
          <w:sz w:val="18"/>
          <w:szCs w:val="18"/>
          <w:color w:val="000000"/>
        </w:rPr>
        <w:t>). To the extent such person’s ownership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Range’s securities has changed since the filing of such proxy statement, such changes have been or will be reflected on Statements of Changes in Beneficial Ownership on Form 4 filed with the SEC. Information regarding EQT’s directors and executive officers and their ownership of EQT’s securities is set forth in EQT’s filings with the SEC, including EQT’s Annual Report on Form 10-K for the fiscal year ended December 31, 2025 (and which is available at </w:t>
      </w:r>
      <w:hyperlink r:id="rId21">
        <w:r>
          <w:rPr>
            <w:rFonts w:ascii="Times New Roman" w:cs="Times New Roman" w:eastAsia="Times New Roman" w:hAnsi="Times New Roman"/>
            <w:sz w:val="18"/>
            <w:szCs w:val="18"/>
            <w:u w:val="single" w:color="auto"/>
            <w:color w:val="0000EE"/>
          </w:rPr>
          <w:t>https://www.sec.gov/ix?doc=/Archives/edgar/data/0000033213/000003321326000018/eqt-20251231.htm</w:t>
        </w:r>
      </w:hyperlink>
      <w:r>
        <w:rPr>
          <w:rFonts w:ascii="Times New Roman" w:cs="Times New Roman" w:eastAsia="Times New Roman" w:hAnsi="Times New Roman"/>
          <w:sz w:val="18"/>
          <w:szCs w:val="18"/>
          <w:color w:val="000000"/>
        </w:rPr>
        <w:t xml:space="preserve">) and its Definitive Proxy Statement on Schedule 14A that was filed with the SEC on February 26, 2026 (and which is available at </w:t>
      </w:r>
      <w:hyperlink r:id="rId22">
        <w:r>
          <w:rPr>
            <w:rFonts w:ascii="Times New Roman" w:cs="Times New Roman" w:eastAsia="Times New Roman" w:hAnsi="Times New Roman"/>
            <w:sz w:val="18"/>
            <w:szCs w:val="18"/>
            <w:u w:val="single" w:color="auto"/>
            <w:color w:val="0000EE"/>
          </w:rPr>
          <w:t>https://www.sec.gov/ix?doc=/Archives/edgar/data/0000033213/000110465926020027/tm261383-1_def14a.htm</w:t>
        </w:r>
      </w:hyperlink>
      <w:r>
        <w:rPr>
          <w:rFonts w:ascii="Times New Roman" w:cs="Times New Roman" w:eastAsia="Times New Roman" w:hAnsi="Times New Roman"/>
          <w:sz w:val="18"/>
          <w:szCs w:val="18"/>
          <w:color w:val="000000"/>
        </w:rPr>
        <w:t>). To the extent such person’s ownership</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of EQT’s securities has changed since the filing of such proxy statement, such changes have been or will be reflected on Statements of Changes in Beneficial Ownership on Form 4 filed with the SEC. Additional information regarding the interests of those persons and other persons who may be deemed participants in the proposed transaction may be obtained by reading the joint proxy statement/prospectus and other relevant materials that will be filed with the SEC regarding the proposed transaction when such documents become available. You may obtain free copies of these documents as described in the preceding paragraph.</w:t>
      </w:r>
    </w:p>
    <w:p>
      <w:pPr>
        <w:spacing w:after="0" w:line="296"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rFonts w:ascii="Times New Roman" w:cs="Times New Roman" w:eastAsia="Times New Roman" w:hAnsi="Times New Roman"/>
          <w:sz w:val="18"/>
          <w:szCs w:val="18"/>
          <w:color w:val="0000EE"/>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This Report relates to the proposed transaction. This Report is for informational purposes only and is not intended to and shall not constitute an offer to buy, sell or exchange or the solicitation of an offer to buy, sell or exchange any securities, or a solicitation of any vote or approval, in any jurisdiction, pursuant to the proposed transaction or otherwise, nor shall there be any sale, issuance, exchange or transfer of the securities referred to in this document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20"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97" w:right="45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RANGE RESOURCES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Mark S. Scucchi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Mark S. Scucchi</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0"/>
          </w:cols>
          <w:pgMar w:left="440" w:top="293" w:right="619" w:bottom="1440" w:gutter="0" w:footer="0" w:header="0"/>
        </w:sectPr>
      </w:pPr>
    </w:p>
    <w:bookmarkStart w:id="4" w:name="page5"/>
    <w:bookmarkEnd w:id="4"/>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NEWS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Range Announces Third Quarter 2026 Results</w:t>
      </w:r>
    </w:p>
    <w:p>
      <w:pPr>
        <w:spacing w:after="0" w:line="2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FORT WORTH, Texas, October 27, 2026…RANGE RESOURCES CORPORATION (NYSE: RRC) </w:t>
      </w:r>
      <w:r>
        <w:rPr>
          <w:rFonts w:ascii="Times New Roman" w:cs="Times New Roman" w:eastAsia="Times New Roman" w:hAnsi="Times New Roman"/>
          <w:sz w:val="18"/>
          <w:szCs w:val="18"/>
          <w:color w:val="auto"/>
        </w:rPr>
        <w:t>today announced its third quarter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Highlights –</w:t>
      </w:r>
    </w:p>
    <w:p>
      <w:pPr>
        <w:spacing w:after="0" w:line="135"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operating activities of $308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before working capital changes, of $347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spending was $170 million, approximately 25% of the annual 2026 budget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price, including hedges, was $3.43 per mcfe – a $0.48 premium versus NYMEX natural gas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Pre-hedge NGL realizations of $27.54 per barrel, a premium of $1.54 over the Mont Belvieu equivalent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averaged 2.50 Bcfe per day, approximately 68% natural gas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liquids production of 133,173 barrels per day</w:t>
      </w:r>
    </w:p>
    <w:p>
      <w:pPr>
        <w:spacing w:after="0" w:line="22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Dennis Degner, the Company’s CEO said, “Our third quarter results showed consistent progress on our multi-year development plan, as key infrastructure was commissioned in Range’s liquids-rich area. As a result of strong well performance and expanded infrastructure, Range’s liquids production increased to a Company record of over 130,000 barrels per day. Increased liquids production, paired with strategic access to international markets, drove strong cash margins and free cash flow during the quarter, further bolstering Range’s financial position.</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considerable momentum across our business and will be exiting 2026 in the strongest position in Range’s history. We believe our pending transaction with EQT Corporation is a natural next step in our journey that will allow us to scale our business, expand our reach to meet demand and accelerate our mission. With EQT, we will have improved market access, best-in-class inventory, enhanced cash flow generation, and fortified resiliency to drive profitable growth and shareholder value creation through commodity cycles. We look forward to completing the transaction and unlocking its compelling benefits for our team, customers, partners and shareholders.”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Discussion</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Except for generally accepted accounting principles (“GAAP”) reported amounts, specific expense categories exclude non-cash impairments, unrealized mark-to-market adjustment on derivatives, non-cash stock compensation and other items shown separately on the attached tables. “Unit costs” as used in this release are composed of direct operating, transportation, gathering, processing and compression, taxes other than income, general and administrative, interest and depletion, depreciation and amortization costs divided by production. See “Non-GAAP Financial Measures” for a definition of non-GAAP financial measures and the accompanying tables that reconcile each non-GAAP measure to its most directly comparable GAAP financial measure.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2026 Results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GAAP revenues and other income for third quarter 2026 totaled $843 million, GAAP net cash provided from operating activities (including changes in working capital) was $308 million, and GAAP net income was $175 million ($0.75 per diluted share). Third quarter earnings results include a $58 million mark-to-market derivative gain due to decreases in commodity prices.</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Cash flow from operations before changes in working capital, a non-GAAP measure, was $347 million. Adjusted net income comparable to analysts’ estimates, a non-GAAP measure, was $191 million ($0.81 per diluted share) in third quarter 2026.</w:t>
      </w:r>
    </w:p>
    <w:p>
      <w:pPr>
        <w:sectPr>
          <w:pgSz w:w="11900" w:h="16838" w:orient="portrait"/>
          <w:cols w:equalWidth="0" w:num="1">
            <w:col w:w="11020"/>
          </w:cols>
          <w:pgMar w:left="440" w:top="117" w:right="4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table details Range’s third quarter 2026 unit costs per mcfe</w:t>
      </w:r>
      <w:r>
        <w:rPr>
          <w:rFonts w:ascii="Times New Roman" w:cs="Times New Roman" w:eastAsia="Times New Roman" w:hAnsi="Times New Roman"/>
          <w:sz w:val="26"/>
          <w:szCs w:val="26"/>
          <w:color w:val="auto"/>
          <w:vertAlign w:val="superscript"/>
        </w:rPr>
        <w:t>(a)</w:t>
      </w:r>
      <w:r>
        <w:rPr>
          <w:rFonts w:ascii="Times New Roman" w:cs="Times New Roman" w:eastAsia="Times New Roman" w:hAnsi="Times New Roman"/>
          <w:sz w:val="18"/>
          <w:szCs w:val="18"/>
          <w:color w:val="auto"/>
        </w:rPr>
        <w:t>:</w:t>
      </w:r>
    </w:p>
    <w:p>
      <w:pPr>
        <w:spacing w:after="0" w:line="141"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5360" w:type="dxa"/>
            <w:vAlign w:val="bottom"/>
            <w:vMerge w:val="restart"/>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3Q 2026</w:t>
            </w:r>
          </w:p>
        </w:tc>
        <w:tc>
          <w:tcPr>
            <w:tcW w:w="5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3Q 2025</w:t>
            </w:r>
          </w:p>
        </w:tc>
        <w:tc>
          <w:tcPr>
            <w:tcW w:w="58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65"/>
        </w:trPr>
        <w:tc>
          <w:tcPr>
            <w:tcW w:w="580" w:type="dxa"/>
            <w:vAlign w:val="bottom"/>
            <w:tcBorders>
              <w:bottom w:val="single" w:sz="8" w:color="auto"/>
            </w:tcBorders>
            <w:vMerge w:val="continue"/>
          </w:tcPr>
          <w:p>
            <w:pPr>
              <w:spacing w:after="0"/>
              <w:rPr>
                <w:sz w:val="13"/>
                <w:szCs w:val="13"/>
                <w:color w:val="auto"/>
              </w:rPr>
            </w:pPr>
          </w:p>
        </w:tc>
        <w:tc>
          <w:tcPr>
            <w:tcW w:w="5360" w:type="dxa"/>
            <w:vAlign w:val="bottom"/>
            <w:vMerge w:val="continue"/>
          </w:tcPr>
          <w:p>
            <w:pPr>
              <w:spacing w:after="0"/>
              <w:rPr>
                <w:sz w:val="13"/>
                <w:szCs w:val="13"/>
                <w:color w:val="auto"/>
              </w:rPr>
            </w:pPr>
          </w:p>
        </w:tc>
        <w:tc>
          <w:tcPr>
            <w:tcW w:w="6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3"/>
              </w:rPr>
              <w:t>(per mcfe)</w:t>
            </w:r>
          </w:p>
        </w:tc>
        <w:tc>
          <w:tcPr>
            <w:tcW w:w="120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(per mcfe)</w:t>
            </w:r>
          </w:p>
        </w:tc>
        <w:tc>
          <w:tcPr>
            <w:tcW w:w="1500" w:type="dxa"/>
            <w:vAlign w:val="bottom"/>
            <w:gridSpan w:val="3"/>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5940" w:type="dxa"/>
            <w:vAlign w:val="bottom"/>
            <w:tcBorders>
              <w:right w:val="single" w:sz="8" w:color="CCEEFF"/>
            </w:tcBorders>
            <w:gridSpan w:val="2"/>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Direct operating</w:t>
            </w:r>
            <w:r>
              <w:rPr>
                <w:rFonts w:ascii="Times New Roman" w:cs="Times New Roman" w:eastAsia="Times New Roman" w:hAnsi="Times New Roman"/>
                <w:sz w:val="25"/>
                <w:szCs w:val="25"/>
                <w:color w:val="auto"/>
                <w:vertAlign w:val="superscript"/>
              </w:rPr>
              <w:t>(a)</w:t>
            </w: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tcBorders>
              <w:right w:val="single" w:sz="8" w:color="CCEEFF"/>
            </w:tcBorders>
            <w:gridSpan w:val="2"/>
            <w:vMerge w:val="continue"/>
            <w:shd w:val="clear" w:color="auto" w:fill="CCEEFF"/>
          </w:tcPr>
          <w:p>
            <w:pPr>
              <w:spacing w:after="0"/>
              <w:rPr>
                <w:sz w:val="17"/>
                <w:szCs w:val="17"/>
                <w:color w:val="auto"/>
              </w:rPr>
            </w:pPr>
          </w:p>
        </w:tc>
        <w:tc>
          <w:tcPr>
            <w:tcW w:w="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0.13</w:t>
            </w:r>
          </w:p>
        </w:tc>
        <w:tc>
          <w:tcPr>
            <w:tcW w:w="5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0.11</w:t>
            </w:r>
          </w:p>
        </w:tc>
        <w:tc>
          <w:tcPr>
            <w:tcW w:w="580" w:type="dxa"/>
            <w:vAlign w:val="bottom"/>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Transportation, gathering, processing and compression</w:t>
            </w:r>
            <w:r>
              <w:rPr>
                <w:rFonts w:ascii="Times New Roman" w:cs="Times New Roman" w:eastAsia="Times New Roman" w:hAnsi="Times New Roman"/>
                <w:sz w:val="25"/>
                <w:szCs w:val="25"/>
                <w:color w:val="auto"/>
                <w:vertAlign w:val="superscript"/>
              </w:rPr>
              <w:t>(a)</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9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other than income</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5"/>
                <w:szCs w:val="25"/>
                <w:color w:val="auto"/>
                <w:vertAlign w:val="superscript"/>
              </w:rPr>
              <w:t>(a)</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94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Interest expense</w:t>
            </w:r>
            <w:r>
              <w:rPr>
                <w:rFonts w:ascii="Times New Roman" w:cs="Times New Roman" w:eastAsia="Times New Roman" w:hAnsi="Times New Roman"/>
                <w:sz w:val="25"/>
                <w:szCs w:val="25"/>
                <w:color w:val="auto"/>
                <w:vertAlign w:val="superscript"/>
              </w:rPr>
              <w:t>(a)</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360"/>
              <w:spacing w:after="0" w:line="243" w:lineRule="exact"/>
              <w:rPr>
                <w:sz w:val="20"/>
                <w:szCs w:val="20"/>
                <w:color w:val="auto"/>
              </w:rPr>
            </w:pPr>
            <w:r>
              <w:rPr>
                <w:rFonts w:ascii="Times New Roman" w:cs="Times New Roman" w:eastAsia="Times New Roman" w:hAnsi="Times New Roman"/>
                <w:sz w:val="18"/>
                <w:szCs w:val="18"/>
                <w:color w:val="auto"/>
              </w:rPr>
              <w:t>Total cash unit costs</w:t>
            </w:r>
            <w:r>
              <w:rPr>
                <w:rFonts w:ascii="Times New Roman" w:cs="Times New Roman" w:eastAsia="Times New Roman" w:hAnsi="Times New Roman"/>
                <w:sz w:val="26"/>
                <w:szCs w:val="26"/>
                <w:color w:val="auto"/>
                <w:vertAlign w:val="superscript"/>
              </w:rPr>
              <w:t>(b)</w:t>
            </w: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58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9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 depreciation and amortization (DD&amp;A)</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360"/>
              <w:spacing w:after="0" w:line="243" w:lineRule="exact"/>
              <w:rPr>
                <w:sz w:val="20"/>
                <w:szCs w:val="20"/>
                <w:color w:val="auto"/>
              </w:rPr>
            </w:pPr>
            <w:r>
              <w:rPr>
                <w:rFonts w:ascii="Times New Roman" w:cs="Times New Roman" w:eastAsia="Times New Roman" w:hAnsi="Times New Roman"/>
                <w:sz w:val="18"/>
                <w:szCs w:val="18"/>
                <w:color w:val="auto"/>
              </w:rPr>
              <w:t>Total unit costs plus DD&amp;A</w:t>
            </w:r>
            <w:r>
              <w:rPr>
                <w:rFonts w:ascii="Times New Roman" w:cs="Times New Roman" w:eastAsia="Times New Roman" w:hAnsi="Times New Roman"/>
                <w:sz w:val="26"/>
                <w:szCs w:val="26"/>
                <w:color w:val="auto"/>
                <w:vertAlign w:val="superscript"/>
              </w:rPr>
              <w:t>(b)</w:t>
            </w: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gridSpan w:val="2"/>
            <w:vMerge w:val="continue"/>
          </w:tcPr>
          <w:p>
            <w:pPr>
              <w:spacing w:after="0"/>
              <w:rPr>
                <w:sz w:val="19"/>
                <w:szCs w:val="19"/>
                <w:color w:val="auto"/>
              </w:rPr>
            </w:pPr>
          </w:p>
        </w:tc>
        <w:tc>
          <w:tcPr>
            <w:tcW w:w="180" w:type="dxa"/>
            <w:vAlign w:val="bottom"/>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580" w:type="dxa"/>
            <w:vAlign w:val="bottom"/>
            <w:vMerge w:val="continue"/>
          </w:tcPr>
          <w:p>
            <w:pPr>
              <w:spacing w:after="0"/>
              <w:rPr>
                <w:sz w:val="19"/>
                <w:szCs w:val="19"/>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58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Excludes stock-based compensation, one-time settlements, and amortization of debt issuance costs.</w:t>
      </w:r>
    </w:p>
    <w:p>
      <w:pPr>
        <w:spacing w:after="0" w:line="29" w:lineRule="exact"/>
        <w:rPr>
          <w:rFonts w:ascii="Times New Roman" w:cs="Times New Roman" w:eastAsia="Times New Roman" w:hAnsi="Times New Roman"/>
          <w:sz w:val="18"/>
          <w:szCs w:val="18"/>
          <w:i w:val="1"/>
          <w:iCs w:val="1"/>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Totals may not add due to rounding.</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 details Range’s average production and realized pricing for third quarter 2026</w:t>
      </w:r>
      <w:r>
        <w:rPr>
          <w:rFonts w:ascii="Times New Roman" w:cs="Times New Roman" w:eastAsia="Times New Roman" w:hAnsi="Times New Roman"/>
          <w:sz w:val="26"/>
          <w:szCs w:val="26"/>
          <w:color w:val="auto"/>
          <w:vertAlign w:val="superscript"/>
        </w:rPr>
        <w:t>(a)</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3Q26 Production &amp; Realized Pricing</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340" w:type="dxa"/>
            <w:vAlign w:val="bottom"/>
          </w:tcPr>
          <w:p>
            <w:pPr>
              <w:spacing w:after="0"/>
              <w:rPr>
                <w:sz w:val="10"/>
                <w:szCs w:val="10"/>
                <w:color w:val="auto"/>
              </w:rPr>
            </w:pPr>
          </w:p>
        </w:tc>
        <w:tc>
          <w:tcPr>
            <w:tcW w:w="110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Oil</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NGLs</w:t>
            </w:r>
          </w:p>
        </w:tc>
        <w:tc>
          <w:tcPr>
            <w:tcW w:w="8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Natural Gas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Equivalent</w:t>
            </w: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(mcf)</w:t>
            </w:r>
          </w:p>
        </w:tc>
        <w:tc>
          <w:tcPr>
            <w:tcW w:w="340" w:type="dxa"/>
            <w:vAlign w:val="bottom"/>
          </w:tcPr>
          <w:p>
            <w:pPr>
              <w:spacing w:after="0"/>
              <w:rPr>
                <w:sz w:val="15"/>
                <w:szCs w:val="15"/>
                <w:color w:val="auto"/>
              </w:rPr>
            </w:pP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(bbl)</w:t>
            </w:r>
          </w:p>
        </w:tc>
        <w:tc>
          <w:tcPr>
            <w:tcW w:w="100" w:type="dxa"/>
            <w:vAlign w:val="bottom"/>
          </w:tcPr>
          <w:p>
            <w:pPr>
              <w:spacing w:after="0"/>
              <w:rPr>
                <w:sz w:val="15"/>
                <w:szCs w:val="15"/>
                <w:color w:val="auto"/>
              </w:rPr>
            </w:pPr>
          </w:p>
        </w:tc>
        <w:tc>
          <w:tcPr>
            <w:tcW w:w="11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(bbl)</w:t>
            </w:r>
          </w:p>
        </w:tc>
        <w:tc>
          <w:tcPr>
            <w:tcW w:w="100" w:type="dxa"/>
            <w:vAlign w:val="bottom"/>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(mcfe)</w:t>
            </w: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production per day</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1,700,068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126,674</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2,499,104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Average NYMEX price</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tcPr>
          <w:p>
            <w:pPr>
              <w:spacing w:after="0"/>
              <w:rPr>
                <w:sz w:val="18"/>
                <w:szCs w:val="18"/>
                <w:color w:val="auto"/>
              </w:rPr>
            </w:pPr>
          </w:p>
        </w:tc>
        <w:tc>
          <w:tcPr>
            <w:tcW w:w="14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$ 85.60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Differential, including basis hedging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(0.55)</w:t>
            </w:r>
          </w:p>
        </w:tc>
        <w:tc>
          <w:tcPr>
            <w:tcW w:w="14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Realized prices before NYMEX hedges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Settled NYMEX hedges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Average realized prices after hedges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$ 69.33</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27.47</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Totals may not add due to rounding.</w:t>
      </w:r>
    </w:p>
    <w:p>
      <w:pPr>
        <w:spacing w:after="0" w:line="227"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Third quarter 2026 natural gas, NGLs and oil price realizations (including the impact of cash-settled hedges and derivative settlements) averaged $3.43 per mcfe.</w:t>
      </w:r>
    </w:p>
    <w:p>
      <w:pPr>
        <w:spacing w:after="0" w:line="67" w:lineRule="exact"/>
        <w:rPr>
          <w:sz w:val="20"/>
          <w:szCs w:val="20"/>
          <w:color w:val="auto"/>
        </w:rPr>
      </w:pPr>
    </w:p>
    <w:p>
      <w:pPr>
        <w:ind w:left="964" w:hanging="424"/>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natural gas price, including the impact of basis hedging, was $2.40 per mcf, or a ($0.55) per mcf differential to NYMEX.</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Range’s pre-hedge NGL price during the quarter was $27.54 per barrel, approximately $1.54 above the Mont Belvieu weighted equivalent.</w:t>
      </w:r>
    </w:p>
    <w:p>
      <w:pPr>
        <w:spacing w:after="0" w:line="130" w:lineRule="exact"/>
        <w:rPr>
          <w:rFonts w:ascii="Times New Roman" w:cs="Times New Roman" w:eastAsia="Times New Roman" w:hAnsi="Times New Roman"/>
          <w:sz w:val="18"/>
          <w:szCs w:val="18"/>
          <w:color w:val="auto"/>
        </w:rPr>
      </w:pPr>
    </w:p>
    <w:p>
      <w:pPr>
        <w:ind w:left="964" w:right="620" w:hanging="424"/>
        <w:spacing w:after="0" w:line="282"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Crude oil and condensate price realizations, before realized hedges, averaged $75.57 per barrel, or $10.03 below WTI (West Texas Intermediate).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Financial Position and Repurchase Activity</w:t>
      </w:r>
    </w:p>
    <w:p>
      <w:pPr>
        <w:spacing w:after="0" w:line="121"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As of September 30, 2026, Range had net debt outstanding of approximately $794 million, consisting of $500 million of senior notes and $294 million on the credit facility.</w:t>
      </w:r>
    </w:p>
    <w:p>
      <w:pPr>
        <w:sectPr>
          <w:pgSz w:w="11900" w:h="16838" w:orient="portrait"/>
          <w:cols w:equalWidth="0" w:num="1">
            <w:col w:w="10984"/>
          </w:cols>
          <w:pgMar w:left="436" w:top="270" w:right="47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quarter, Range did not repurchase shares. As of September 30, 2026, the Company had $1.4 billion of availability under the share repurchase program previously authorized by the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 and Operational Activity</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Third quarter 2026 drilling and completion expenditures were $160 million. In addition, during the quarter, approximately $5 million was invested in acreage, and $5 million was invested in infrastructure, pneumatic upgrades, and other investments. Third quarter capital spending represented approximately 25% of Range’s total capital budget in 2026.</w:t>
      </w:r>
    </w:p>
    <w:p>
      <w:pPr>
        <w:spacing w:after="0" w:line="17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During the quarter, Range drilled ~178,000 lateral feet across 10 wells, while turning to sales ~240,000 feet across 17 wells. The table below summarizes expected 2026 activity plans regarding the number of wells to sales in each area.</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 YTD</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Planned Wells</w:t>
            </w:r>
          </w:p>
        </w:tc>
      </w:tr>
      <w:tr>
        <w:trPr>
          <w:trHeight w:val="173"/>
        </w:trPr>
        <w:tc>
          <w:tcPr>
            <w:tcW w:w="36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Wells TIL</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TIL in 2026</w:t>
            </w: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Liquids Rich</w:t>
            </w:r>
          </w:p>
        </w:tc>
        <w:tc>
          <w:tcPr>
            <w:tcW w:w="20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Dry Gas</w:t>
            </w:r>
          </w:p>
        </w:tc>
        <w:tc>
          <w:tcPr>
            <w:tcW w:w="20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9"/>
                <w:szCs w:val="19"/>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Appalachia</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Hedging Status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Range hedges portions of its expected future production volumes to increase the predictability of cash flow and maintain a strong, flexible financial position. Please see the detailed hedging schedule posted on the Range website under Investor Relations – Financial Information.</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Range has also hedged basis across the Company’s numerous natural gas sales points to limit volatility between benchmark and regional prices. The combined fair value of natural gas basis hedges as of September 30, 2026, was a net loss of $8.4 million. </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pending merger with EQT, Range will not host a conference call or webcast to discuss its third quarter 2026 results.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To supplement the presentation of its financial results prepared in accordance with generally accepted accounting principles (GAAP), the Company’s earnings press release contains certain financial measures that are not presented in accordance with GAAP. Management believes certain non-GAAP measures may provide financial statement users with meaningful supplemental information for comparisons within the industry. These non-GAAP financial measures may include, but are not limited to Net Income, excluding certain items, Cash flow from operations before changes in working capital, realized prices, Net debt and Cash margin.</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Adjusted net income comparable to analysts’ estimates as set forth in this release represents income or loss from operations before income taxes adjusted for certain non-cash items (detailed in the accompanying table) less income taxes. We believe adjusted net income comparable to analysts’ estimates is calculated on the same basis as analysts’ estimates and that many investors use this published research in making investment decisions and evaluating operational trends of the Company and its performance relative to other oil and gas producing companies. Diluted earnings per share (adjusted) as set forth in this release represents adjusted net income comparable to analysts’ estimates on a diluted per share basis. A table is included which reconciles income or loss from operations to adjusted net income comparable to analysts’ estimates and diluted earnings per share (adjusted). On its website, the Company provides additional comparative information on prior periods.</w:t>
      </w:r>
    </w:p>
    <w:p>
      <w:pPr>
        <w:sectPr>
          <w:pgSz w:w="11900" w:h="16838" w:orient="portrait"/>
          <w:cols w:equalWidth="0" w:num="1">
            <w:col w:w="10960"/>
          </w:cols>
          <w:pgMar w:left="440" w:top="270" w:right="499" w:bottom="1440" w:gutter="0" w:footer="0" w:header="0"/>
        </w:sectPr>
      </w:pPr>
    </w:p>
    <w:bookmarkStart w:id="7" w:name="page8"/>
    <w:bookmarkEnd w:id="7"/>
    <w:p>
      <w:pPr>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flow from operations before changes in working capital represents net cash provided by operations before changes in working capital and exploration expense adjusted for certain non-cash compensation items. Cash flow from operations before changes in working capital (sometimes referred to as “adjusted cash flow”) is widely accepted by the investment community as a financial indicator of an oil and gas company’s ability to generate cash to internally fund exploration and development activities and to service debt. Cash flow from operations before changes in working capital is also useful because it is widely used by professional research analysts in valuing, comparing, rating and providing investment recommendations of companies in the oil and gas exploration and production industry. In turn, many investors use this published research in making investment decisions. Cash flow from operations before changes in working capital is not a measure of financial performance under GAAP and should not be considered as an alternative to cash flows from operations, investing, or financing activities as an indicator of cash flows, or as a measure of liquidity. A table is included which reconciles net cash provided by operations to cash flow from operations before changes in working capital as used in this release. On its website, the Company provides additional comparative information on prior periods for cash flow, cash margins and non-GAAP earnings as used in this release.</w:t>
      </w:r>
    </w:p>
    <w:p>
      <w:pPr>
        <w:spacing w:after="0" w:line="17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cash prices realized for oil and natural gas production, including the amounts realized on cash-settled derivatives and net of transportation, gathering, processing and compression expense, is a critical component in the Company’s performance tracked by investors and professional research analysts in valuing, comparing, rating and providing investment recommendations and forecasts of companies in the oil and gas exploration and production industry. In turn, many investors use this published research in making investment decisions. Due to the GAAP disclosures of various derivative transactions and third-party transportation, gathering, processing and compression expense, such information is now reported in various lines of the income statement. The Company believes that it is important to furnish a table reflecting the details of the various components of each income statement line to better inform the reader of the details of each amount and provide a summary of the realized cash-settled amounts and third-party transportation, gathering, processing and compression expense, which were historically reported as natural gas, NGLs and oil sales. This information is intended to bridge the gap between various readers’ understanding and fully disclose the information needed.</w:t>
      </w:r>
    </w:p>
    <w:p>
      <w:pPr>
        <w:spacing w:after="0" w:line="18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Net debt is calculated as total debt less cash and cash equivalents. The Company believes this measure is helpful to investors and industry analysts who utilize Net debt for comparative purposes across the industry.</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discloses in this release the detailed components of many of the single line items shown in the GAAP financial statements included in the Company’s Annual or Quarterly Reports on Form 10-K or 10-Q. The Company believes that it is important to furnish this detail of the various components comprising each line of the Statements of Operations to better inform the reader of the details of each amount, the changes between periods and the effect on its financial results.</w:t>
      </w:r>
    </w:p>
    <w:p>
      <w:pPr>
        <w:spacing w:after="0" w:line="7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We believe that the presentation of PV</w:t>
      </w:r>
      <w:r>
        <w:rPr>
          <w:rFonts w:ascii="Times New Roman" w:cs="Times New Roman" w:eastAsia="Times New Roman" w:hAnsi="Times New Roman"/>
          <w:sz w:val="26"/>
          <w:szCs w:val="26"/>
          <w:color w:val="auto"/>
          <w:vertAlign w:val="subscript"/>
        </w:rPr>
        <w:t>10</w:t>
      </w:r>
      <w:r>
        <w:rPr>
          <w:rFonts w:ascii="Times New Roman" w:cs="Times New Roman" w:eastAsia="Times New Roman" w:hAnsi="Times New Roman"/>
          <w:sz w:val="18"/>
          <w:szCs w:val="18"/>
          <w:color w:val="auto"/>
        </w:rPr>
        <w:t xml:space="preserve"> value of our proved reserves is a relevant and useful metric for our investors as supplemental disclosure to the standardized measure, or after-tax amount, because it presents the discounted future net cash flows attributable to our proved reserves before taking into account future corporate income taxes and our current tax structure. While the standardized measure is dependent on the unique tax situation of each company, PV</w:t>
      </w:r>
      <w:r>
        <w:rPr>
          <w:rFonts w:ascii="Times New Roman" w:cs="Times New Roman" w:eastAsia="Times New Roman" w:hAnsi="Times New Roman"/>
          <w:sz w:val="26"/>
          <w:szCs w:val="26"/>
          <w:color w:val="auto"/>
          <w:vertAlign w:val="subscript"/>
        </w:rPr>
        <w:t>10</w:t>
      </w:r>
      <w:r>
        <w:rPr>
          <w:rFonts w:ascii="Times New Roman" w:cs="Times New Roman" w:eastAsia="Times New Roman" w:hAnsi="Times New Roman"/>
          <w:sz w:val="18"/>
          <w:szCs w:val="18"/>
          <w:color w:val="auto"/>
        </w:rPr>
        <w:t xml:space="preserve"> is based on prices and discount factors that are consistent for all companies. Because of this, PV</w:t>
      </w:r>
      <w:r>
        <w:rPr>
          <w:rFonts w:ascii="Times New Roman" w:cs="Times New Roman" w:eastAsia="Times New Roman" w:hAnsi="Times New Roman"/>
          <w:sz w:val="26"/>
          <w:szCs w:val="26"/>
          <w:color w:val="auto"/>
          <w:vertAlign w:val="subscript"/>
        </w:rPr>
        <w:t>10</w:t>
      </w:r>
      <w:r>
        <w:rPr>
          <w:rFonts w:ascii="Times New Roman" w:cs="Times New Roman" w:eastAsia="Times New Roman" w:hAnsi="Times New Roman"/>
          <w:sz w:val="18"/>
          <w:szCs w:val="18"/>
          <w:color w:val="auto"/>
        </w:rPr>
        <w:t xml:space="preserve"> can be used within the industry and by credit and security analysts to evaluate estimated net cash flows from proved reserves on a more comparable basis.</w:t>
      </w:r>
    </w:p>
    <w:p>
      <w:pPr>
        <w:spacing w:after="0" w:line="196"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RANGE RESOURCES CORPORATION (NYSE: RRC) </w:t>
      </w:r>
      <w:r>
        <w:rPr>
          <w:rFonts w:ascii="Times New Roman" w:cs="Times New Roman" w:eastAsia="Times New Roman" w:hAnsi="Times New Roman"/>
          <w:sz w:val="17"/>
          <w:szCs w:val="17"/>
          <w:color w:val="auto"/>
        </w:rPr>
        <w:t>is a leading U.S. independent natural gas and NGL producer with operations focused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Appalachian Basin. The Company is headquartered in Fort Worth, Texas. More information about Range can be found at </w:t>
      </w:r>
      <w:r>
        <w:rPr>
          <w:rFonts w:ascii="Times New Roman" w:cs="Times New Roman" w:eastAsia="Times New Roman" w:hAnsi="Times New Roman"/>
          <w:sz w:val="17"/>
          <w:szCs w:val="17"/>
          <w:u w:val="single" w:color="auto"/>
          <w:color w:val="auto"/>
        </w:rPr>
        <w:t>www.rangeresources.com</w:t>
      </w:r>
      <w:r>
        <w:rPr>
          <w:rFonts w:ascii="Times New Roman" w:cs="Times New Roman" w:eastAsia="Times New Roman" w:hAnsi="Times New Roman"/>
          <w:sz w:val="17"/>
          <w:szCs w:val="17"/>
          <w:color w:val="auto"/>
        </w:rPr>
        <w:t>.</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This release contains “forward-looking statements” within the meaning of the federal securities laws. Statements that do not relate strictly to historical or current facts are forward-looking and are usually identified by the use of words such as “anticipates,” “believes,” “cause,” “continue,” “could,” “depend,” “develop,” “estimates,” “expects,” “forecasts,” “goal,” “guidance,” “have,” “impact,” “implement,” “increase,” “intends,” “lead,” “maintain,” “may,” “might,” “plans,” “potential,” “possible,” “projected,” “reduce,” “remain,” “result,” “scheduled,” “seek,” “should,” “will,” “would” and other similar words or expressions. The absence of such words or expressions does not necessarily mean the statements are not forward-looking. Without limiting the generality of the foregoing, forward-looking statements in this release may include statements regarding the proposed transaction (the “proposed transaction”) between EQT Corporation (“EQT”) and Range Resources Corporation (“Range”), the expected closing of the proposed transaction and the timing thereof and the pro forma combined company and its operations, strategies and plans, integration, debt levels and leverage ratio, capital expenditures, cash flows and anticipated uses thereof, synergies, opportunities and anticipated future performance, expected accretion to earnings and free cash flow and anticipated dividends. Information adjusted for the proposed transaction should not be considered a forecast of future results.</w:t>
      </w:r>
    </w:p>
    <w:p>
      <w:pPr>
        <w:sectPr>
          <w:pgSz w:w="11900" w:h="16838" w:orient="portrait"/>
          <w:cols w:equalWidth="0" w:num="1">
            <w:col w:w="11000"/>
          </w:cols>
          <w:pgMar w:left="440" w:top="270" w:right="459" w:bottom="1440" w:gutter="0" w:footer="0" w:header="0"/>
        </w:sectPr>
      </w:pPr>
    </w:p>
    <w:bookmarkStart w:id="8" w:name="page9"/>
    <w:bookmarkEnd w:id="8"/>
    <w:p>
      <w:pPr>
        <w:spacing w:after="0" w:line="25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 contained herein reflect the current views of EQT and Range about future events. Although Range believes its forward-looking statements are based on reasonable expectations and assumptions, statements made regarding future results are not guarantees of future performance and are inherently subject to significant business, economic, competitive, regulatory and other risks and uncertainties, many of which are difficult to predict and beyond EQT’s and Range’s control. Actual outcomes and results may be materially different from the results stated or implied in the forward-looking statements included in this release due to a number of factors, including, but not limited to: the occurrence of any event, change or other circumstances that could give rise to the termination of the merger agreement related to the proposed transaction (the “Merger Agreement”); the possibility that shareholders of EQT may not approve the issuance of EQT shares required in the proposed transaction; the possibility that the shareholders of Range may not adopt the Merger Agreement; the risk that EQT or Range may be unable to obtain governmental and regulatory approvals required for the proposed transaction, or required governmental and regulatory approvals may delay the proposed transaction or result in the imposition of conditions that could cause the parties to abandon the proposed transaction; the risk that the parties may not be able to satisfy the conditions to the proposed transaction in a timely manner or at all; risks related to disruption of management’s time from ongoing business operations due to the proposed transaction; the risk that any announcements relating to the proposed transaction could have adverse effects on the market price of EQT’s or Range’s common stock; the risk of any unexpected costs or expenses resulting from the proposed transaction; the risk of any litigation relating to the proposed transaction; the risk that the proposed transaction and its announcement could have an adverse effect on the ability of EQT and Range to retain and hire key personnel, on the ability of EQT or Range to attract third-party customers and maintain their relationships with derivatives and joint venture counterparties and on EQT’s and Range’s operating results and businesses generally; the risk that problems may arise in successfully integrating the businesses of EQT and Range,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the volatility in commodity prices for crude oil and natural gas; the effect of future regulatory or legislative actions on EQT and Range or the industry in which they operate, including the risk of new restrictions with respect to oil and natural gas development activities; the risk that the credit ratings of the combined business may be different from what EQT and Range expect; the ability of management to execute its plans to meet its goals and other risks inherent in EQT’s and Range’s businesses; public health crises and any related government policies and actions; the potential disruption or interruption of EQT’s or Range’s operations due to war, accidents, political events, civil unrest, severe weather, cyber threats, terrorist acts, or other natural or human causes beyond EQT’s or Range’s control; the combined company’s ability to identify and mitigate the risks and hazards inherent in operating in the global energy industry; and other factors detailed in EQT’s and Range’s Annual Reports on Form 10-K for the year ended December 31, 2025 and subsequent Quarterly Reports on Form 10-Q and Current Reports on Form 8-K.</w:t>
      </w:r>
    </w:p>
    <w:p>
      <w:pPr>
        <w:spacing w:after="0" w:line="20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All such factors are difficult to predict and are beyond EQT’s and Range’s control. Additional risks or uncertainties that are not currently known to EQT or Range, that EQT or Range currently deem to be immaterial, or that could apply to any company could also cause actual outcomes and results to differ materially from those included in the forward-looking statements in this release.</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Any forward-looking statement speaks only as of the date on which such statement is made. EQT and Range undertake no obligation to publicly correct or update the forward-looking statements in this release, in other documents or on their respective websites to reflect new information, future events or otherwise, except as required by applicable law. All such statements are expressly qualified by this cautionary statement. Readers are cautioned not to place undue reliance on these forward-looking statements as a prediction of actual results.</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The SEC permits oil and gas companies, in filings made with the SEC, to disclose proved reserves, which are estimates that geological and engineering data demonstrate with reasonable certainty to be recoverable in future years from known reservoirs under existing economic and operating conditions as well as the option to disclose probable and possible reserves. Range has elected not to disclose its probable and possible reserves in its filings with the SEC. Range uses certain broader terms such as “resource potential,” “unrisked resource potential,” “unproved resource potential” or “upside” or other descriptions of volumes of resources potentially recoverable through additional drilling or recovery techniques that may include probable and possible reserves as defined by the SEC’s guidelines. Range has not attempted to distinguish probable and possible reserves from these broader classifications. The SEC’s rules prohibit us from including in filings with the SEC these broader classifications of reserves. These estimates are by their nature more speculative than estimates of proved, probable and possible reserves and accordingly are subject to substantially greater risk of actually being realized. Unproved resource potential refers to Range’s internal estimates of hydrocarbon quantities that may be potentially discovered through exploratory drilling or recovered with additional drilling or recovery techniques and have not been</w:t>
      </w:r>
    </w:p>
    <w:p>
      <w:pPr>
        <w:sectPr>
          <w:pgSz w:w="11900" w:h="16838" w:orient="portrait"/>
          <w:cols w:equalWidth="0" w:num="1">
            <w:col w:w="10980"/>
          </w:cols>
          <w:pgMar w:left="440" w:top="268" w:right="479" w:bottom="1440" w:gutter="0" w:footer="0" w:header="0"/>
        </w:sectPr>
      </w:pPr>
    </w:p>
    <w:bookmarkStart w:id="9" w:name="page10"/>
    <w:bookmarkEnd w:id="9"/>
    <w:p>
      <w:pPr>
        <w:spacing w:after="0" w:line="25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reviewed by independent engineers. Unproved resource potential does not constitute reserves within the meaning of the Society of Petroleum Engineer’s Petroleum Resource Management System and does not include proved reserves. Area wide unproven resource potential has not been fully risked by Range’s management. “EUR”, or estimated ultimate recovery, refers to our management’s estimates of hydrocarbon quantities that may be recovered from a well completed as a producer in the area. These quantities may not necessarily constitute or represent reserves within the meaning of the Society of Petroleum Engineer’s Petroleum Resource Management System or the SEC’s oil and natural gas disclosure rules. Actual quantities that may be recovered from Range’s interests could differ substantially. Factors affecting ultimate recovery include the scope of Range’s drilling program, which will be directly affected by the availability of capital, drilling and production costs, commodity prices, availability of drilling services and equipment, drilling results, lease expirations, transportation constraints, regulatory approvals, field spacing rules, recoveries of gas in place, length of horizontal laterals, actual drilling results, including geological and mechanical factors affecting recovery rates and other factors. Estimates of resource potential may change significantly as development of our resource plays provides additional data.</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 addition, our production forecasts and expectations for future periods are dependent upon many assumptions, including estimates of production decline rates from existing wells and the undertaking and outcome of future drilling activity, which may be affected by significant commodity price or drilling cost changes. Investors are urged to consider closely the disclosure in our most recent Annual Report on Form 10-K, available from our website at </w:t>
      </w:r>
      <w:r>
        <w:rPr>
          <w:rFonts w:ascii="Times New Roman" w:cs="Times New Roman" w:eastAsia="Times New Roman" w:hAnsi="Times New Roman"/>
          <w:sz w:val="18"/>
          <w:szCs w:val="18"/>
          <w:i w:val="1"/>
          <w:iCs w:val="1"/>
          <w:u w:val="single" w:color="auto"/>
          <w:color w:val="auto"/>
        </w:rPr>
        <w:t>www.rangeresources.com</w:t>
      </w:r>
      <w:r>
        <w:rPr>
          <w:rFonts w:ascii="Times New Roman" w:cs="Times New Roman" w:eastAsia="Times New Roman" w:hAnsi="Times New Roman"/>
          <w:sz w:val="18"/>
          <w:szCs w:val="18"/>
          <w:i w:val="1"/>
          <w:iCs w:val="1"/>
          <w:color w:val="auto"/>
        </w:rPr>
        <w:t xml:space="preserve"> or by written request to 100 Throckmorton Street, Suite 1200, Fort Worth, Texas 76102. You can also obtain this Form 10-K on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 xml:space="preserve"> or by calling the SEC at 1-800-SEC-0330.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Range Resources Corporation</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Range Investor Contacts:</w:t>
      </w:r>
    </w:p>
    <w:p>
      <w:pPr>
        <w:spacing w:after="0" w:line="1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Laith Sando</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817-869-4267</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Matt Schmid</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817-869-1538</w:t>
      </w:r>
    </w:p>
    <w:p>
      <w:pPr>
        <w:spacing w:after="0" w:line="20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Range Media Contact:</w:t>
      </w:r>
    </w:p>
    <w:p>
      <w:pPr>
        <w:spacing w:after="0" w:line="1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Mark Windle</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724-873-3223</w:t>
      </w:r>
    </w:p>
    <w:p>
      <w:pPr>
        <w:sectPr>
          <w:pgSz w:w="11900" w:h="16838" w:orient="portrait"/>
          <w:cols w:equalWidth="0" w:num="1">
            <w:col w:w="10980"/>
          </w:cols>
          <w:pgMar w:left="440" w:top="268" w:right="479" w:bottom="1440" w:gutter="0" w:footer="0" w:header="0"/>
        </w:sectPr>
      </w:pPr>
    </w:p>
    <w:bookmarkStart w:id="10" w:name="page11"/>
    <w:bookmarkEnd w:id="10"/>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RANGE RESOURCES CORPORATION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Based on GAAP reported earnings with additional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details of items included in each line in Form 10-Q</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(Unaudited, In thousands, except per share data)</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9"/>
          </w:tcPr>
          <w:p>
            <w:pPr>
              <w:jc w:val="right"/>
              <w:ind w:right="28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 and other income: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NGLs and oil sales (a)</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737,919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611,491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2,450,258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2,070,049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fair value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58,118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92,946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98,229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88,736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Brokered natural gas and marketing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46,523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43,807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161,248</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131,224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ARO settlement gain (b)</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(b)</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4,867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sale of assets (b)</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(b)</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 and other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748,528</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2,710,567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2,295,357</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 operating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30,395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23,305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85,796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70,757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 operating - stock-based compensation (c)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 gathering, processing and compression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349,934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301,110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990,075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911,933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other than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8,265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20,103</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23,087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Brokered natural gas, NGLs and marketing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47,530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48,256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163,389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139,800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Brokered natural gas, NGLs and marketing - stock-based compensation (c)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Exploration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17,365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21,426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Exploration - stock-based compensation (c)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Abandonment and impairment of unproved properties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14,232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16,254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37,588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35,253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108,620</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99,563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 stock-based compensation (c)</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9,448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31,048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28,885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 lawsuit settlements and other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Exit costs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22,853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25,484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plan (d)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23,200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45,970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76,615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 amortization of debt issuance costs (e)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3,610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(gain) on early extinguishment of debt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12,344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93,793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283,657</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275,866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565,184</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1,804,752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1,700,236</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224,027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183,344</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905,815</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595,121</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11,205</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5,623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45,929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40,059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182,334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110,561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193,539</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116,184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175,323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144,307</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712,276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478,937</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as reported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233,487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237,378</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234,419</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238,523</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235,035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239,026</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235,958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240,255</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separate natural gas, NGLs and oil sales information table.</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income in the 10-Q.</w:t>
      </w:r>
    </w:p>
    <w:p>
      <w:pPr>
        <w:spacing w:after="0" w:line="9" w:lineRule="exact"/>
        <w:rPr>
          <w:rFonts w:ascii="Times New Roman" w:cs="Times New Roman" w:eastAsia="Times New Roman" w:hAnsi="Times New Roman"/>
          <w:sz w:val="18"/>
          <w:szCs w:val="18"/>
          <w:color w:val="auto"/>
        </w:rPr>
      </w:pPr>
    </w:p>
    <w:p>
      <w:pPr>
        <w:ind w:left="424" w:right="60"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stock compensation and amortization, which have been reflected in the categories associated with the direct personnel costs, are combined with the cash costs in the 10-Q.</w:t>
      </w: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change in market value of the vested Company stock held in the deferred compensation plan.</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interest expense in the 10-Q.</w:t>
      </w:r>
    </w:p>
    <w:p>
      <w:pPr>
        <w:sectPr>
          <w:pgSz w:w="11900" w:h="16838" w:orient="portrait"/>
          <w:cols w:equalWidth="0" w:num="1">
            <w:col w:w="11024"/>
          </w:cols>
          <w:pgMar w:left="436" w:top="266" w:right="4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RANGE RESOURCES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September 30,</w:t>
            </w:r>
          </w:p>
        </w:tc>
        <w:tc>
          <w:tcPr>
            <w:tcW w:w="80" w:type="dxa"/>
            <w:vAlign w:val="bottom"/>
          </w:tcPr>
          <w:p>
            <w:pPr>
              <w:spacing w:after="0"/>
              <w:rPr>
                <w:sz w:val="13"/>
                <w:szCs w:val="13"/>
                <w:color w:val="auto"/>
              </w:rPr>
            </w:pPr>
          </w:p>
        </w:tc>
        <w:tc>
          <w:tcPr>
            <w:tcW w:w="94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8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2026</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345,035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390,835</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assets</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131,367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69,397</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NGLs and oil properties, net (successful efforts method)</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7"/>
              </w:rPr>
              <w:t>6,941,366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w w:val="97"/>
              </w:rPr>
              <w:t>6,708,366</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property and equipment, net</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4,935</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130,583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173,477</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78,466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74,938</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1"/>
              </w:rPr>
              <w:t>$ 7,644,426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7"/>
              </w:rPr>
              <w:t>7,421,948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625,590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658,783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Bank debt, net of unamortized debt issuance costs</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284,484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106,700</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Senior notes, net of unamortized debt issuance costs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496,434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w w:val="97"/>
              </w:rPr>
              <w:t>1,091,634</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883,926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701,601</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2,602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2,363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liabilities</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70,773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68,635</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77,345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115,515</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 retirement obligations and other liabilities</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161,376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153,081</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Divestiture contract obligation</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166,225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202,586</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2,772,475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3,103,267</w:t>
            </w:r>
          </w:p>
        </w:tc>
        <w:tc>
          <w:tcPr>
            <w:tcW w:w="0" w:type="dxa"/>
            <w:vAlign w:val="bottom"/>
          </w:tcPr>
          <w:p>
            <w:pPr>
              <w:spacing w:after="0"/>
              <w:rPr>
                <w:sz w:val="1"/>
                <w:szCs w:val="1"/>
                <w:color w:val="auto"/>
              </w:rPr>
            </w:pPr>
          </w:p>
        </w:tc>
      </w:tr>
      <w:tr>
        <w:trPr>
          <w:trHeight w:val="223"/>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and retained deficit</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5,724,195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7"/>
              </w:rPr>
              <w:t>5,064,743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held in treasury</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(852,633)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6"/>
              </w:rPr>
              <w:t>(746,486)</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4,871,951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4,318,681</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1"/>
              </w:rPr>
              <w:t>$ 7,644,426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7"/>
              </w:rPr>
              <w:t>7,421,948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TOTAL DEBT AS REPORTED</w:t>
            </w: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8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NET DEBT, a non-GAAP measure</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20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September 30,</w:t>
            </w:r>
          </w:p>
        </w:tc>
        <w:tc>
          <w:tcPr>
            <w:tcW w:w="22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80" w:type="dxa"/>
            <w:vAlign w:val="bottom"/>
          </w:tcPr>
          <w:p>
            <w:pPr>
              <w:spacing w:after="0"/>
              <w:rPr>
                <w:sz w:val="24"/>
                <w:szCs w:val="24"/>
                <w:color w:val="auto"/>
              </w:rPr>
            </w:pPr>
          </w:p>
        </w:tc>
        <w:tc>
          <w:tcPr>
            <w:tcW w:w="260" w:type="dxa"/>
            <w:vAlign w:val="bottom"/>
            <w:vMerge w:val="restart"/>
          </w:tcPr>
          <w:p>
            <w:pPr>
              <w:spacing w:after="0"/>
              <w:rPr>
                <w:sz w:val="24"/>
                <w:szCs w:val="24"/>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net of deferred financing costs, as reported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$1,198,334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Unamortized debt issuance costs, as reported</w:t>
            </w:r>
          </w:p>
        </w:tc>
        <w:tc>
          <w:tcPr>
            <w:tcW w:w="180" w:type="dxa"/>
            <w:vAlign w:val="bottom"/>
          </w:tcPr>
          <w:p>
            <w:pPr>
              <w:spacing w:after="0"/>
              <w:rPr>
                <w:sz w:val="18"/>
                <w:szCs w:val="18"/>
                <w:color w:val="auto"/>
              </w:rPr>
            </w:pPr>
          </w:p>
        </w:tc>
        <w:tc>
          <w:tcPr>
            <w:tcW w:w="7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13,082</w:t>
            </w: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19,666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cash and cash equivalents, as reported</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Net debt, a non-GAAP measure</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793,988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1,217,796</w:t>
            </w:r>
          </w:p>
        </w:tc>
        <w:tc>
          <w:tcPr>
            <w:tcW w:w="80" w:type="dxa"/>
            <w:vAlign w:val="bottom"/>
          </w:tcPr>
          <w:p>
            <w:pPr>
              <w:spacing w:after="0"/>
              <w:rPr>
                <w:sz w:val="19"/>
                <w:szCs w:val="19"/>
                <w:color w:val="auto"/>
              </w:rPr>
            </w:pP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2" w:name="page13"/>
    <w:bookmarkEnd w:id="12"/>
    <w:p>
      <w:pPr>
        <w:ind w:left="39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RANGE RESOURCES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gridSpan w:val="11"/>
          </w:tcPr>
          <w:p>
            <w:pPr>
              <w:jc w:val="right"/>
              <w:ind w:right="18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80" w:type="dxa"/>
            <w:vAlign w:val="bottom"/>
          </w:tcPr>
          <w:p>
            <w:pPr>
              <w:spacing w:after="0"/>
              <w:rPr>
                <w:sz w:val="14"/>
                <w:szCs w:val="14"/>
                <w:color w:val="auto"/>
              </w:rPr>
            </w:pPr>
          </w:p>
        </w:tc>
        <w:tc>
          <w:tcPr>
            <w:tcW w:w="2200" w:type="dxa"/>
            <w:vAlign w:val="bottom"/>
            <w:gridSpan w:val="9"/>
          </w:tcPr>
          <w:p>
            <w:pPr>
              <w:jc w:val="right"/>
              <w:ind w:right="14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175,323</w:t>
            </w: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144,307</w:t>
            </w: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712,276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cash provided from continuing operations: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182,334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110,561</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93,793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283,657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275,866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Abandonment and impairment of unproved properties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5,774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16,254</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fair value income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(58,118)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(92,946)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(98,229)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(88,736)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settlements on derivative financial instruments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62,033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37,849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98,072</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Divestiture contract obligation, including accretion</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22,853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25,484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deferred financing costs and other</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and stock-based compensation</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37,435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36,378</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 on early extinguishment of debt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12,344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(12,265)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56,514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63,063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(10,709)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(10,794)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(5,084)</w:t>
            </w:r>
          </w:p>
        </w:tc>
        <w:tc>
          <w:tcPr>
            <w:tcW w:w="0" w:type="dxa"/>
            <w:vAlign w:val="bottom"/>
          </w:tcPr>
          <w:p>
            <w:pPr>
              <w:spacing w:after="0"/>
              <w:rPr>
                <w:sz w:val="1"/>
                <w:szCs w:val="1"/>
                <w:color w:val="auto"/>
              </w:rPr>
            </w:pPr>
          </w:p>
        </w:tc>
      </w:tr>
      <w:tr>
        <w:trPr>
          <w:trHeight w:val="216"/>
        </w:trPr>
        <w:tc>
          <w:tcPr>
            <w:tcW w:w="6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(21,739)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(15,418)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8,016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10,285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(76,733)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(107,828)</w:t>
            </w:r>
          </w:p>
        </w:tc>
        <w:tc>
          <w:tcPr>
            <w:tcW w:w="0" w:type="dxa"/>
            <w:vAlign w:val="bottom"/>
          </w:tcPr>
          <w:p>
            <w:pPr>
              <w:spacing w:after="0"/>
              <w:rPr>
                <w:sz w:val="1"/>
                <w:szCs w:val="1"/>
                <w:color w:val="auto"/>
              </w:rPr>
            </w:pPr>
          </w:p>
        </w:tc>
      </w:tr>
      <w:tr>
        <w:trPr>
          <w:trHeight w:val="230"/>
        </w:trPr>
        <w:tc>
          <w:tcPr>
            <w:tcW w:w="6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changes in working capital</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(34,428)</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(46,431)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provided from operating activities</w:t>
            </w:r>
          </w:p>
        </w:tc>
        <w:tc>
          <w:tcPr>
            <w:tcW w:w="460" w:type="dxa"/>
            <w:vAlign w:val="bottom"/>
            <w:gridSpan w:val="4"/>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307,601</w:t>
            </w: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247,545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1,161,752</w:t>
            </w:r>
          </w:p>
        </w:tc>
        <w:tc>
          <w:tcPr>
            <w:tcW w:w="1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913,818</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CASH PROVIDED FROM OPERATING</w:t>
            </w: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ACTIVITIES, AS REPORTED, TO CASH FLOW FROM OPERATIONS BEFORE</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WORKING CAPITAL, a non-GAAP measure</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gridSpan w:val="10"/>
          </w:tcPr>
          <w:p>
            <w:pPr>
              <w:jc w:val="right"/>
              <w:ind w:right="12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80" w:type="dxa"/>
            <w:vAlign w:val="bottom"/>
          </w:tcPr>
          <w:p>
            <w:pPr>
              <w:spacing w:after="0"/>
              <w:rPr>
                <w:sz w:val="24"/>
                <w:szCs w:val="24"/>
                <w:color w:val="auto"/>
              </w:rPr>
            </w:pPr>
          </w:p>
        </w:tc>
        <w:tc>
          <w:tcPr>
            <w:tcW w:w="2200" w:type="dxa"/>
            <w:vAlign w:val="bottom"/>
            <w:gridSpan w:val="9"/>
          </w:tcPr>
          <w:p>
            <w:pPr>
              <w:jc w:val="right"/>
              <w:ind w:right="14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from operating activities, as reported</w:t>
            </w:r>
          </w:p>
        </w:tc>
        <w:tc>
          <w:tcPr>
            <w:tcW w:w="2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307,601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1,161,752</w:t>
            </w:r>
          </w:p>
        </w:tc>
        <w:tc>
          <w:tcPr>
            <w:tcW w:w="16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changes in working capital</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34,428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23,791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46,431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41,833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Exploration expense</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5,557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17,365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21,426</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Lawsuit settlements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 of seismic data</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compensation adjustment and other</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operations before changes in working capital - non-GAAP measure</w:t>
            </w:r>
          </w:p>
        </w:tc>
        <w:tc>
          <w:tcPr>
            <w:tcW w:w="46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347,193</w:t>
            </w:r>
          </w:p>
        </w:tc>
        <w:tc>
          <w:tcPr>
            <w:tcW w:w="24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279,254</w:t>
            </w:r>
          </w:p>
        </w:tc>
        <w:tc>
          <w:tcPr>
            <w:tcW w:w="2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1,224,637</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977,156</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WEIGHTED AVERAGE SHARES OUTSTANDING</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6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11"/>
          </w:tcPr>
          <w:p>
            <w:pPr>
              <w:ind w:left="2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80" w:type="dxa"/>
            <w:vAlign w:val="bottom"/>
          </w:tcPr>
          <w:p>
            <w:pPr>
              <w:spacing w:after="0"/>
              <w:rPr>
                <w:sz w:val="24"/>
                <w:szCs w:val="24"/>
                <w:color w:val="auto"/>
              </w:rPr>
            </w:pPr>
          </w:p>
        </w:tc>
        <w:tc>
          <w:tcPr>
            <w:tcW w:w="2200" w:type="dxa"/>
            <w:vAlign w:val="bottom"/>
            <w:gridSpan w:val="9"/>
          </w:tcPr>
          <w:p>
            <w:pPr>
              <w:jc w:val="right"/>
              <w:ind w:right="14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233,686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237,643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234,657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239,063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held by deferred compensation plan</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basic</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233,487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237,378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233,686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237,643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234,657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239,063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stock options under treasury method</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dilutive</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235,035</w:t>
            </w:r>
          </w:p>
        </w:tc>
        <w:tc>
          <w:tcPr>
            <w:tcW w:w="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239,026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3" w:name="page14"/>
    <w:bookmarkEnd w:id="13"/>
    <w:p>
      <w:pPr>
        <w:ind w:left="390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RANGE RESOURCES CORPORATION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RECONCILIATION OF NATURAL GAS, NGLs AND OIL SALES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AND DERIVATIVE FAIR VALUE INCOME (LOSS)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CALCULATED CASH REALIZED NATURAL GAS, NGLs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OIL PRICES WITH AND WITHOUT THIRD-PARTY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TRANSPORTATION, GATHERING, PROCESSING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COMPRESSION COSTS, a non-GAAP measure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(Unaudited, In thousands, except per unit data)</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Natural gas, NGLs and Oil Sales components: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sales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371,772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361,124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1,415,649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1,249,456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NGLs sales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320,962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224,376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893,016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738,064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45,185</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25,991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141,593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82,529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Natural Gas, NGLs and Oil Sales, as reported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737,919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611,491</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2,450,258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2,070,049</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Derivative Fair Value Income, as reported</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88,736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settlements on derivative financial instruments - (gain)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(56,384)</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(56,420)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(63,504)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(90,263)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NGLs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(5,096)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(1,613)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(2,713)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change in fair value related to commodity derivatives</w:t>
            </w: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to settlement, a non-GAAP measure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30,913</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60,380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(9,336)</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Transportation, gathering, processing and compression</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components: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170,125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157,193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491,422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469,416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NGLs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179,054</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142,815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496,252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439,862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1,102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2,655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transportation, gathering, processing and compression,</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reported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349,934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301,110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990,075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911,933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5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Natural gas, NGL and Oil sales, including cash-settled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 (c)</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sales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428,156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417,544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1,479,153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1,339,719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NGLs sales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320,165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228,376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885,030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743,160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41,453</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27,604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123,924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85,242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789,774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673,524</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2,488,107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2,168,121</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Production of natural gas, NGLs and oil during the periods</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(mcf)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156,406,269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141,133,949</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433,149,336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413,394,538</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NGLs (bbls)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11,653,966</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10,158,612</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32,139,618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30,107,652</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 (bbls)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597,916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479,142</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1,928,670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1,483,512</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Gas equivalent (mcfe) (b)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229,917,561</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204,960,473</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637,559,064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602,941,522</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of natural gas, NGLs and oil - average per day (a):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(mcf)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1,700,068</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1,534,065</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1,586,628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1,514,266</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NGLs (bbls)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126,674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110,420</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117,728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110,284</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(bbls)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6,499</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5,208</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5,434</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Gas equivalent (mcfe) (b)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2,499,104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2,227,831</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2,335,381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2,208,577</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4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Average prices, excluding derivative settlements and before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third-party transportation costs: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(per mcf)</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2.56</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3.02</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NGLs (per bbl)</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27.54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22.09</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27.79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24.51</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 (per bbl)</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54.25</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73.41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55.63</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Gas equivalent (per mcfe) (b)</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2.98</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3.43</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8"/>
        </w:trPr>
        <w:tc>
          <w:tcPr>
            <w:tcW w:w="4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Average prices, including derivative settlements before third-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party transportation costs: (c)</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(per mcf)</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2.96</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3.24</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NGLs (per bbl)</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22.48</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27.54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24.68</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(per bbl)</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69.33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57.61</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57.46</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Gas equivalent (per mcfe) (b)</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3.29</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3.59</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8"/>
        </w:trPr>
        <w:tc>
          <w:tcPr>
            <w:tcW w:w="4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Average prices, including derivative settlements and after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third-party transportation costs: (d)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(per mcf)</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1.84</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2.11</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NGLs (per bbl)</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8.42</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10.07</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 (per bbl)</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55.31</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63.01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55.67</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Gas equivalent (per mcfe) (b)</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1.82</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2.08</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gathering and compression expense per mcfe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1.47</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1.51</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volumes sold regardless of when produced.</w:t>
      </w:r>
    </w:p>
    <w:p>
      <w:pPr>
        <w:spacing w:after="0" w:line="27" w:lineRule="exact"/>
        <w:rPr>
          <w:rFonts w:ascii="Times New Roman" w:cs="Times New Roman" w:eastAsia="Times New Roman" w:hAnsi="Times New Roman"/>
          <w:sz w:val="18"/>
          <w:szCs w:val="18"/>
          <w:color w:val="auto"/>
        </w:rPr>
      </w:pPr>
    </w:p>
    <w:p>
      <w:pPr>
        <w:ind w:left="424" w:right="42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NGLs are converted at the rate of one barrel equals six mcfe based upon the approximate relative energy content of oil to natural gas, which is not necessarily indicative of the relationship of oil and natural gas prices.</w:t>
      </w: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third-party transportation, gathering, processing and compression costs.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transportation, gathering, processing and compression costs.</w:t>
      </w:r>
    </w:p>
    <w:p>
      <w:pPr>
        <w:sectPr>
          <w:pgSz w:w="11900" w:h="16838" w:orient="portrait"/>
          <w:cols w:equalWidth="0" w:num="1">
            <w:col w:w="11024"/>
          </w:cols>
          <w:pgMar w:left="436" w:top="266" w:right="439" w:bottom="0" w:gutter="0" w:footer="0" w:header="0"/>
        </w:sectPr>
      </w:pPr>
    </w:p>
    <w:bookmarkStart w:id="14" w:name="page15"/>
    <w:bookmarkEnd w:id="14"/>
    <w:p>
      <w:pPr>
        <w:ind w:left="390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RANGE RESOURCES CORPORATION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RECONCILIATION OF INCOME BEFORE INCOME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TAXES AS REPORTED TO INCOME BEFORE INCOME TAXES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EXCLUDING CERTAIN ITEMS, a non-GAAP measure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(Unaudited, In thousands, except per share data)</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500" w:type="dxa"/>
            <w:vAlign w:val="bottom"/>
            <w:gridSpan w:val="8"/>
          </w:tcPr>
          <w:p>
            <w:pPr>
              <w:ind w:left="6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2360" w:type="dxa"/>
            <w:vAlign w:val="bottom"/>
            <w:gridSpan w:val="9"/>
          </w:tcPr>
          <w:p>
            <w:pPr>
              <w:ind w:left="60"/>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42"/>
        </w:trPr>
        <w:tc>
          <w:tcPr>
            <w:tcW w:w="6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r>
      <w:tr>
        <w:trPr>
          <w:trHeight w:val="20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before income taxes, as reported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183,344</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905,815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595,121</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certain special items: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the sale of assets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ARO settlement gain</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 of seismic data</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related to derivatives prior to settlement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(6,263)</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(30,913)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(60,380)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9,336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Abandonment and impairment of unproved properties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5,774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16,254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 on early extinguishment of debt</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Lawsuit settlements and other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Exit costs</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6,334</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8,085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22,853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25,484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 operating - stock-based compensation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Brokered natural gas, NGLs and marketing - stock-based compensation</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Exploration expenses - stock-based compensation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&amp; administrative - stock-based compensation</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9,952</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9,448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31,048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28,885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plan - non-cash adjustment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 as adjusted</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241,529</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175,551</w:t>
            </w:r>
          </w:p>
        </w:tc>
        <w:tc>
          <w:tcPr>
            <w:tcW w:w="220" w:type="dxa"/>
            <w:vAlign w:val="bottom"/>
          </w:tcPr>
          <w:p>
            <w:pPr>
              <w:spacing w:after="0"/>
              <w:rPr>
                <w:sz w:val="19"/>
                <w:szCs w:val="19"/>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932,330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681,877</w:t>
            </w:r>
          </w:p>
        </w:tc>
        <w:tc>
          <w:tcPr>
            <w:tcW w:w="220" w:type="dxa"/>
            <w:vAlign w:val="bottom"/>
          </w:tcPr>
          <w:p>
            <w:pPr>
              <w:spacing w:after="0"/>
              <w:rPr>
                <w:sz w:val="19"/>
                <w:szCs w:val="19"/>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 as adjusted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2,775</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(a)</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47,946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41,399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184,584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151,209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income, excluding certain items, a non-GAAP measure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190,808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135,174</w:t>
            </w:r>
          </w:p>
        </w:tc>
        <w:tc>
          <w:tcPr>
            <w:tcW w:w="220" w:type="dxa"/>
            <w:vAlign w:val="bottom"/>
          </w:tcPr>
          <w:p>
            <w:pPr>
              <w:spacing w:after="0"/>
              <w:rPr>
                <w:sz w:val="19"/>
                <w:szCs w:val="19"/>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736,541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525,045</w:t>
            </w:r>
          </w:p>
        </w:tc>
        <w:tc>
          <w:tcPr>
            <w:tcW w:w="220" w:type="dxa"/>
            <w:vAlign w:val="bottom"/>
          </w:tcPr>
          <w:p>
            <w:pPr>
              <w:spacing w:after="0"/>
              <w:rPr>
                <w:sz w:val="19"/>
                <w:szCs w:val="19"/>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6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income per common share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0.57</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0.57</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2.19</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Non-GAAP diluted shares outstanding, if dilutive</w:t>
            </w: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235,035</w:t>
            </w: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239,026</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235,958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240,255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06"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are estimated to be approximately 21% for 2026 and 23% for 2025</w:t>
      </w:r>
    </w:p>
    <w:p>
      <w:pPr>
        <w:sectPr>
          <w:pgSz w:w="11900" w:h="16838" w:orient="portrait"/>
          <w:cols w:equalWidth="0" w:num="1">
            <w:col w:w="11024"/>
          </w:cols>
          <w:pgMar w:left="436" w:top="266" w:right="439" w:bottom="1440" w:gutter="0" w:footer="0" w:header="0"/>
        </w:sectPr>
      </w:pPr>
    </w:p>
    <w:bookmarkStart w:id="15" w:name="page16"/>
    <w:bookmarkEnd w:id="15"/>
    <w:p>
      <w:pPr>
        <w:ind w:left="39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RANGE RESOURCES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EXCLUDING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ITEMS AND ADJUSTED EARNINGS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non-GAAP measures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234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220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42"/>
        </w:trPr>
        <w:tc>
          <w:tcPr>
            <w:tcW w:w="64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2"/>
                <w:szCs w:val="12"/>
                <w:color w:val="auto"/>
              </w:rPr>
            </w:pPr>
          </w:p>
        </w:tc>
      </w:tr>
      <w:tr>
        <w:trPr>
          <w:trHeight w:val="20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as reported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478,937</w:t>
            </w:r>
          </w:p>
        </w:tc>
        <w:tc>
          <w:tcPr>
            <w:tcW w:w="12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for certain special items: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the sale of assets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ARO settlement gain</w:t>
            </w:r>
          </w:p>
        </w:tc>
        <w:tc>
          <w:tcPr>
            <w:tcW w:w="200" w:type="dxa"/>
            <w:vAlign w:val="bottom"/>
          </w:tcPr>
          <w:p>
            <w:pPr>
              <w:spacing w:after="0"/>
              <w:rPr>
                <w:sz w:val="18"/>
                <w:szCs w:val="18"/>
                <w:color w:val="auto"/>
              </w:rPr>
            </w:pPr>
          </w:p>
        </w:tc>
        <w:tc>
          <w:tcPr>
            <w:tcW w:w="88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 of seismic data</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 on early extinguishment of debt</w:t>
            </w:r>
          </w:p>
        </w:tc>
        <w:tc>
          <w:tcPr>
            <w:tcW w:w="200" w:type="dxa"/>
            <w:vAlign w:val="bottom"/>
          </w:tcPr>
          <w:p>
            <w:pPr>
              <w:spacing w:after="0"/>
              <w:rPr>
                <w:sz w:val="18"/>
                <w:szCs w:val="18"/>
                <w:color w:val="auto"/>
              </w:rPr>
            </w:pPr>
          </w:p>
        </w:tc>
        <w:tc>
          <w:tcPr>
            <w:tcW w:w="88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related to derivatives prior to settlement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(30,913)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9,336</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Abandonment and impairment of unproved properties</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4,899</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16,254</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Lawsuit settlements and other</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Exit costs</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8,085</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25,484</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10,884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33,717</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(765)</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2,026</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impact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(40,648)</w:t>
            </w: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excluding certain items, a non-GAAP measure</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135,174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736,541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525,045</w:t>
            </w:r>
          </w:p>
        </w:tc>
        <w:tc>
          <w:tcPr>
            <w:tcW w:w="12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diluted share, as reported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5"/>
              </w:rPr>
              <w:t>0.75</w:t>
            </w:r>
          </w:p>
        </w:tc>
        <w:tc>
          <w:tcPr>
            <w:tcW w:w="3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5"/>
              </w:rPr>
              <w:t>0.60</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c>
          <w:tcPr>
            <w:tcW w:w="3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for certain special items per diluted share: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the sale of assets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ARO settlement gain</w:t>
            </w:r>
          </w:p>
        </w:tc>
        <w:tc>
          <w:tcPr>
            <w:tcW w:w="200" w:type="dxa"/>
            <w:vAlign w:val="bottom"/>
          </w:tcPr>
          <w:p>
            <w:pPr>
              <w:spacing w:after="0"/>
              <w:rPr>
                <w:sz w:val="18"/>
                <w:szCs w:val="18"/>
                <w:color w:val="auto"/>
              </w:rPr>
            </w:pPr>
          </w:p>
        </w:tc>
        <w:tc>
          <w:tcPr>
            <w:tcW w:w="88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 of seismic data</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 on early extinguishment of debt</w:t>
            </w:r>
          </w:p>
        </w:tc>
        <w:tc>
          <w:tcPr>
            <w:tcW w:w="200" w:type="dxa"/>
            <w:vAlign w:val="bottom"/>
          </w:tcPr>
          <w:p>
            <w:pPr>
              <w:spacing w:after="0"/>
              <w:rPr>
                <w:sz w:val="18"/>
                <w:szCs w:val="18"/>
                <w:color w:val="auto"/>
              </w:rPr>
            </w:pPr>
          </w:p>
        </w:tc>
        <w:tc>
          <w:tcPr>
            <w:tcW w:w="88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related to derivatives prior to settlement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6"/>
              </w:rPr>
              <w:t>(0.03)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6"/>
              </w:rPr>
              <w:t>(0.13)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Abandonment and impairment of unproved properties</w:t>
            </w:r>
          </w:p>
        </w:tc>
        <w:tc>
          <w:tcPr>
            <w:tcW w:w="200" w:type="dxa"/>
            <w:vAlign w:val="bottom"/>
          </w:tcPr>
          <w:p>
            <w:pPr>
              <w:spacing w:after="0"/>
              <w:rPr>
                <w:sz w:val="18"/>
                <w:szCs w:val="18"/>
                <w:color w:val="auto"/>
              </w:rPr>
            </w:pPr>
          </w:p>
        </w:tc>
        <w:tc>
          <w:tcPr>
            <w:tcW w:w="88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95"/>
              </w:rPr>
              <w:t>0.02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95"/>
              </w:rPr>
              <w:t>0.02</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Lawsuit settlements and other</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Exit costs</w:t>
            </w:r>
          </w:p>
        </w:tc>
        <w:tc>
          <w:tcPr>
            <w:tcW w:w="200" w:type="dxa"/>
            <w:vAlign w:val="bottom"/>
          </w:tcPr>
          <w:p>
            <w:pPr>
              <w:spacing w:after="0"/>
              <w:rPr>
                <w:sz w:val="18"/>
                <w:szCs w:val="18"/>
                <w:color w:val="auto"/>
              </w:rPr>
            </w:pPr>
          </w:p>
        </w:tc>
        <w:tc>
          <w:tcPr>
            <w:tcW w:w="88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95"/>
              </w:rPr>
              <w:t>0.03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95"/>
              </w:rPr>
              <w:t>0.03</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5"/>
              </w:rPr>
              <w:t>0.05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5"/>
              </w:rPr>
              <w:t>0.05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0.14</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200" w:type="dxa"/>
            <w:vAlign w:val="bottom"/>
          </w:tcPr>
          <w:p>
            <w:pPr>
              <w:spacing w:after="0"/>
              <w:rPr>
                <w:sz w:val="18"/>
                <w:szCs w:val="18"/>
                <w:color w:val="auto"/>
              </w:rPr>
            </w:pPr>
          </w:p>
        </w:tc>
        <w:tc>
          <w:tcPr>
            <w:tcW w:w="88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for rounding differences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5"/>
              </w:rPr>
              <w:t>0.01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impact</w:t>
            </w:r>
          </w:p>
        </w:tc>
        <w:tc>
          <w:tcPr>
            <w:tcW w:w="200" w:type="dxa"/>
            <w:vAlign w:val="bottom"/>
          </w:tcPr>
          <w:p>
            <w:pPr>
              <w:spacing w:after="0"/>
              <w:rPr>
                <w:sz w:val="18"/>
                <w:szCs w:val="18"/>
                <w:color w:val="auto"/>
              </w:rPr>
            </w:pPr>
          </w:p>
        </w:tc>
        <w:tc>
          <w:tcPr>
            <w:tcW w:w="88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96"/>
              </w:rPr>
              <w:t>(0.01)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96"/>
              </w:rPr>
              <w:t>(0.01)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share impact (rabbi trust and other)</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diluted share, excluding certain items, a non-GAAP measure</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center"/>
              <w:ind w:left="331"/>
              <w:spacing w:after="0"/>
              <w:rPr>
                <w:sz w:val="20"/>
                <w:szCs w:val="20"/>
                <w:color w:val="auto"/>
              </w:rPr>
            </w:pPr>
            <w:r>
              <w:rPr>
                <w:rFonts w:ascii="Times New Roman" w:cs="Times New Roman" w:eastAsia="Times New Roman" w:hAnsi="Times New Roman"/>
                <w:sz w:val="18"/>
                <w:szCs w:val="18"/>
                <w:color w:val="auto"/>
                <w:w w:val="95"/>
              </w:rPr>
              <w:t>0.81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center"/>
              <w:ind w:left="351"/>
              <w:spacing w:after="0"/>
              <w:rPr>
                <w:sz w:val="20"/>
                <w:szCs w:val="20"/>
                <w:color w:val="auto"/>
              </w:rPr>
            </w:pPr>
            <w:r>
              <w:rPr>
                <w:rFonts w:ascii="Times New Roman" w:cs="Times New Roman" w:eastAsia="Times New Roman" w:hAnsi="Times New Roman"/>
                <w:sz w:val="18"/>
                <w:szCs w:val="18"/>
                <w:color w:val="auto"/>
                <w:w w:val="95"/>
              </w:rPr>
              <w:t>0.57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 a non-GAAP measure: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95"/>
              </w:rPr>
              <w:t>0.82</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95"/>
              </w:rPr>
              <w:t>0.57</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5"/>
              </w:rPr>
              <w:t>0.81</w:t>
            </w:r>
          </w:p>
        </w:tc>
        <w:tc>
          <w:tcPr>
            <w:tcW w:w="3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5"/>
              </w:rPr>
              <w:t>0.57</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r>
    </w:tbl>
    <w:p>
      <w:pPr>
        <w:sectPr>
          <w:pgSz w:w="11900" w:h="16838" w:orient="portrait"/>
          <w:cols w:equalWidth="0" w:num="1">
            <w:col w:w="11020"/>
          </w:cols>
          <w:pgMar w:left="440" w:top="266" w:right="439" w:bottom="1440" w:gutter="0" w:footer="0" w:header="0"/>
        </w:sectPr>
      </w:pPr>
    </w:p>
    <w:bookmarkStart w:id="16" w:name="page17"/>
    <w:bookmarkEnd w:id="16"/>
    <w:p>
      <w:pPr>
        <w:ind w:left="39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RANGE RESOURCES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CASH MARGIN PER MCFE, a non-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 except per unit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8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80" w:type="dxa"/>
            <w:vAlign w:val="bottom"/>
          </w:tcPr>
          <w:p>
            <w:pPr>
              <w:spacing w:after="0"/>
              <w:rPr>
                <w:sz w:val="13"/>
                <w:szCs w:val="13"/>
                <w:color w:val="auto"/>
              </w:rPr>
            </w:pPr>
          </w:p>
        </w:tc>
        <w:tc>
          <w:tcPr>
            <w:tcW w:w="2200" w:type="dxa"/>
            <w:vAlign w:val="bottom"/>
            <w:gridSpan w:val="8"/>
          </w:tcPr>
          <w:p>
            <w:pPr>
              <w:jc w:val="right"/>
              <w:ind w:right="14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171"/>
        </w:trPr>
        <w:tc>
          <w:tcPr>
            <w:tcW w:w="62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2026</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NGLs and oil sales, as reported</w:t>
            </w:r>
          </w:p>
        </w:tc>
        <w:tc>
          <w:tcPr>
            <w:tcW w:w="38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737,919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611,491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2,450,258</w:t>
            </w:r>
          </w:p>
        </w:tc>
        <w:tc>
          <w:tcPr>
            <w:tcW w:w="140" w:type="dxa"/>
            <w:vAlign w:val="bottom"/>
          </w:tcPr>
          <w:p>
            <w:pPr>
              <w:spacing w:after="0"/>
              <w:rPr>
                <w:sz w:val="18"/>
                <w:szCs w:val="18"/>
                <w:color w:val="auto"/>
              </w:rPr>
            </w:pPr>
          </w:p>
        </w:tc>
        <w:tc>
          <w:tcPr>
            <w:tcW w:w="200" w:type="dxa"/>
            <w:vAlign w:val="bottom"/>
            <w:gridSpan w:val="2"/>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2,070,049</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fair value income, as reported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58,118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92,946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88,736</w:t>
            </w:r>
          </w:p>
        </w:tc>
        <w:tc>
          <w:tcPr>
            <w:tcW w:w="0" w:type="dxa"/>
            <w:vAlign w:val="bottom"/>
          </w:tcPr>
          <w:p>
            <w:pPr>
              <w:spacing w:after="0"/>
              <w:rPr>
                <w:sz w:val="1"/>
                <w:szCs w:val="1"/>
                <w:color w:val="auto"/>
              </w:rPr>
            </w:pPr>
          </w:p>
        </w:tc>
      </w:tr>
      <w:tr>
        <w:trPr>
          <w:trHeight w:val="216"/>
        </w:trPr>
        <w:tc>
          <w:tcPr>
            <w:tcW w:w="6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Less non-cash fair value (gain) loss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(6,263)</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(30,913)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9,336</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Brokered natural gas and marketing, as reported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46,523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43,807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161,248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131,224</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as reported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5,348</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 (gain) loss on sale of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6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Less ARO settlement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Cash revenues and other income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2,650,155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2,304,534</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 operating, as reported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30,932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87,397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72,323</w:t>
            </w:r>
          </w:p>
        </w:tc>
        <w:tc>
          <w:tcPr>
            <w:tcW w:w="0" w:type="dxa"/>
            <w:vAlign w:val="bottom"/>
          </w:tcPr>
          <w:p>
            <w:pPr>
              <w:spacing w:after="0"/>
              <w:rPr>
                <w:sz w:val="1"/>
                <w:szCs w:val="1"/>
                <w:color w:val="auto"/>
              </w:rPr>
            </w:pPr>
          </w:p>
        </w:tc>
      </w:tr>
      <w:tr>
        <w:trPr>
          <w:trHeight w:val="216"/>
        </w:trPr>
        <w:tc>
          <w:tcPr>
            <w:tcW w:w="6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Less direct operating stock-based compensation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(537)</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 gathering and compression, as reported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349,934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301,110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990,075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911,933</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other than income, as reported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7,354</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23,087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Brokered natural gas, NGLs and marketing, as reported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48,206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48,882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165,666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142,068</w:t>
            </w:r>
          </w:p>
        </w:tc>
        <w:tc>
          <w:tcPr>
            <w:tcW w:w="0" w:type="dxa"/>
            <w:vAlign w:val="bottom"/>
          </w:tcPr>
          <w:p>
            <w:pPr>
              <w:spacing w:after="0"/>
              <w:rPr>
                <w:sz w:val="1"/>
                <w:szCs w:val="1"/>
                <w:color w:val="auto"/>
              </w:rPr>
            </w:pPr>
          </w:p>
        </w:tc>
      </w:tr>
      <w:tr>
        <w:trPr>
          <w:trHeight w:val="216"/>
        </w:trPr>
        <w:tc>
          <w:tcPr>
            <w:tcW w:w="6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Less brokered natural gas, NGLs and marketing stock-based compensation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(676)</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(2,268)</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as reported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47,691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44,712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140,749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128,549</w:t>
            </w:r>
          </w:p>
        </w:tc>
        <w:tc>
          <w:tcPr>
            <w:tcW w:w="0" w:type="dxa"/>
            <w:vAlign w:val="bottom"/>
          </w:tcPr>
          <w:p>
            <w:pPr>
              <w:spacing w:after="0"/>
              <w:rPr>
                <w:sz w:val="1"/>
                <w:szCs w:val="1"/>
                <w:color w:val="auto"/>
              </w:rPr>
            </w:pPr>
          </w:p>
        </w:tc>
      </w:tr>
      <w:tr>
        <w:trPr>
          <w:trHeight w:val="216"/>
        </w:trPr>
        <w:tc>
          <w:tcPr>
            <w:tcW w:w="6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Less G&amp;A stock-based compensation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(9,952)</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(28,885)</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 lawsuit settlements and other</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as reported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14,624</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80,225</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 amortization of debt issuance costs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(3,610)</w:t>
            </w:r>
          </w:p>
        </w:tc>
        <w:tc>
          <w:tcPr>
            <w:tcW w:w="0" w:type="dxa"/>
            <w:vAlign w:val="bottom"/>
          </w:tcPr>
          <w:p>
            <w:pPr>
              <w:spacing w:after="0"/>
              <w:rPr>
                <w:sz w:val="1"/>
                <w:szCs w:val="1"/>
                <w:color w:val="auto"/>
              </w:rPr>
            </w:pPr>
          </w:p>
        </w:tc>
      </w:tr>
      <w:tr>
        <w:trPr>
          <w:trHeight w:val="223"/>
        </w:trPr>
        <w:tc>
          <w:tcPr>
            <w:tcW w:w="62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Cash expenses</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486,592</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1,413,953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1,321,755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margin, a non-GAAP measure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278,232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1,236,202</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982,779</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Mmcfe produced during period</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margin per mcfe</w:t>
            </w:r>
          </w:p>
        </w:tc>
        <w:tc>
          <w:tcPr>
            <w:tcW w:w="38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INCOME BEFORE INCOME TAXES</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CASH MARGIN, a non-GAAP measure</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 except per unit data)</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6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80" w:type="dxa"/>
            <w:vAlign w:val="bottom"/>
          </w:tcPr>
          <w:p>
            <w:pPr>
              <w:spacing w:after="0"/>
              <w:rPr>
                <w:sz w:val="24"/>
                <w:szCs w:val="24"/>
                <w:color w:val="auto"/>
              </w:rPr>
            </w:pPr>
          </w:p>
        </w:tc>
        <w:tc>
          <w:tcPr>
            <w:tcW w:w="2200" w:type="dxa"/>
            <w:vAlign w:val="bottom"/>
            <w:gridSpan w:val="8"/>
          </w:tcPr>
          <w:p>
            <w:pPr>
              <w:jc w:val="right"/>
              <w:ind w:right="14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171"/>
        </w:trPr>
        <w:tc>
          <w:tcPr>
            <w:tcW w:w="62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2026</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 as reported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income before income taxes to cash margin: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ARO settlements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fair value income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(58,118)</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(92,946)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(98,229)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(88,736)</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receipts on derivative settlements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51,855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62,033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37,849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98,072</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Exploration expense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5,557</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17,365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21,426</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Lawsuit settlements and other</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Exit costs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6,334</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22,853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25,484</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198"/>
        </w:trPr>
        <w:tc>
          <w:tcPr>
            <w:tcW w:w="62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Stock-based compensation (direct operating, brokered natural gas, NGLs and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marketing, exploration and general and administrative)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11,561</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10,884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36,042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33,717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Bad debt expense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 amortization of debt issuance costs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102,049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93,793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283,657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275,866</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(gain) on early extinguishment of debt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Abandonment and impairment of unproved properties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16,254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margin, a non-GAAP measure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278,232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1,236,202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982,779</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Information for Investors and Shareholders; Additional Information and Where to Find It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EQT intends to file with the U.S. Securities and Exchange Commission (the “SEC”) a registration statement on Form S-4 (the “registration statement”) that will include a joint proxy statement of EQT and Range and that will also constitute a prospectus of EQT (the “joint proxy statement/prospectus”). Range and EQT also intend to file other documents regarding the proposed transaction with the SEC. This communication is not a substitute for the joint proxy statement/prospectus or the registration statement. BEFORE MAKING ANY VOTING OR INVESTMENT DECISION, INVESTORS AND SECURITY HOLDERS OF EQT AND RANGE ARE URGED TO READ THE REGISTRATION STATEMENT, THE JOINT PROXY STATEMENT/PROSPECTUS AND ALL OTHER RELEVANT DOCUMENTS FILED OR THAT MAY BE FILED WITH THE SEC IN CONNECTION WITH THE PROPOSED TRANSACTION, AS WELL AS ANY AMENDMENTS OR SUPPLEMENTS TO THOSE DOCUMENTS, CAREFULLY AND IN THEIR ENTIRETY IF AND WHEN THEY BECOME AVAILABLE BECAUSE THEY CONTAIN OR WILL CONTAIN IMPORTANT INFORMATION ABOUT EQT, RANGE, THE PROPOSED TRANSACTION, THE RISKS THERETO AND RELATED MATTERS. After the registration statement has been declared effective, a definitive joint proxy statement/prospectus will be mailed to the shareholders of EQT and the shareholders of Range. Investors and security holders will be able to obtain free copies of the registration statement and joint proxy statement/prospectus and other relevant documents filed or that will be filed with the SEC by EQT or Range through the website maintained by the SEC at www.sec.gov. Copies of the documents filed with the SEC by Range will be available free of charge on Range’s website at www. ir.rangeresources.com. Copies of the documents filed with the SEC by EQT will be available free of charge on EQT’s website at www.ir.eqt.com/investor-relations. The information included on, or accessible through, Range’s or EQT’s website is not incorporated by reference into this communication.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Range, EQT and their respective directors, executive officers and other members of management and employees may be deemed to be participants in the solicitation of proxies in connection with the proposed transaction contemplated by the joint proxy statement/prospectus. Information regarding Range’s directors and executive officers and their ownership of Range’s securities is set forth in Range’s filings with the SEC, including Range’s Annual Report on Form 10-K for the fiscal year ended December 31, 2025 that was filed with the SEC on February 24, 2026 (and which is available at </w:t>
      </w:r>
      <w:hyperlink r:id="rId19">
        <w:r>
          <w:rPr>
            <w:rFonts w:ascii="Times New Roman" w:cs="Times New Roman" w:eastAsia="Times New Roman" w:hAnsi="Times New Roman"/>
            <w:sz w:val="18"/>
            <w:szCs w:val="18"/>
            <w:u w:val="single" w:color="auto"/>
            <w:color w:val="0000EE"/>
          </w:rPr>
          <w:t>https://www.sec.gov/ix?doc=/Archives/edgar/data/0000315852/000119312526067292/rrc-20251231.htm</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its Definitive Proxy Statement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Schedule 14A that was filed with the SEC on March 31, 2026 (and which is available at </w:t>
      </w:r>
      <w:hyperlink r:id="rId20">
        <w:r>
          <w:rPr>
            <w:rFonts w:ascii="Times New Roman" w:cs="Times New Roman" w:eastAsia="Times New Roman" w:hAnsi="Times New Roman"/>
            <w:sz w:val="18"/>
            <w:szCs w:val="18"/>
            <w:u w:val="single" w:color="auto"/>
            <w:color w:val="0000EE"/>
          </w:rPr>
          <w:t>https://www.sec.gov/ix?doc=/Archives/edgar/data/0000315852/000119312526134699/rrc-20260325.htm</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 To the extent such person’s ownership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Range’s securities has changed since the filing of such proxy statement, such changes have been or will be reflected on Statements of Changes in Beneficial Ownership on Form 4 filed with the SEC. Information regarding EQT’s directors and executive officers and their ownership of EQT’s securities is set forth in EQT’s filings with the SEC, including EQT’s Annual Report on Form 10-K for the fiscal year ended December 31, 2025 (and which is available at </w:t>
      </w:r>
      <w:hyperlink r:id="rId21">
        <w:r>
          <w:rPr>
            <w:rFonts w:ascii="Times New Roman" w:cs="Times New Roman" w:eastAsia="Times New Roman" w:hAnsi="Times New Roman"/>
            <w:sz w:val="18"/>
            <w:szCs w:val="18"/>
            <w:u w:val="single" w:color="auto"/>
            <w:color w:val="0000EE"/>
          </w:rPr>
          <w:t>https://www.sec.gov/ix?doc=/Archives/edgar/data/0000033213/000003321326000018/eqt-20251231.htm</w:t>
        </w:r>
      </w:hyperlink>
      <w:r>
        <w:rPr>
          <w:rFonts w:ascii="Times New Roman" w:cs="Times New Roman" w:eastAsia="Times New Roman" w:hAnsi="Times New Roman"/>
          <w:sz w:val="18"/>
          <w:szCs w:val="18"/>
          <w:color w:val="000000"/>
        </w:rPr>
        <w:t xml:space="preserve">) and its Definitive Proxy Statement on Schedule 14A that was filed with the SEC on February 26, 2026 (and which is available at </w:t>
      </w:r>
      <w:hyperlink r:id="rId22">
        <w:r>
          <w:rPr>
            <w:rFonts w:ascii="Times New Roman" w:cs="Times New Roman" w:eastAsia="Times New Roman" w:hAnsi="Times New Roman"/>
            <w:sz w:val="18"/>
            <w:szCs w:val="18"/>
            <w:u w:val="single" w:color="auto"/>
            <w:color w:val="0000EE"/>
          </w:rPr>
          <w:t>https://www.sec.gov/ix?doc=/Archives/edgar/data/0000033213/000110465926020027/tm261383-1_def14a.htm</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 To the extent such person’s ownership</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of EQT’s securities has changed since the filing of such proxy statement, such changes have been or will be reflected on Statements of Changes in Beneficial Ownership on Form 4 filed with the SEC. Additional information regarding the interests of those persons and other persons who may be deemed participants in the proposed transaction may be obtained by reading the joint proxy statement/prospectus and other relevant materials that will be filed with the SEC regarding the proposed transaction when such documents become available. You may obtain free copies of these documents as described in the preceding paragraph.</w:t>
      </w:r>
    </w:p>
    <w:p>
      <w:pPr>
        <w:spacing w:after="0" w:line="296"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rFonts w:ascii="Times New Roman" w:cs="Times New Roman" w:eastAsia="Times New Roman" w:hAnsi="Times New Roman"/>
          <w:sz w:val="18"/>
          <w:szCs w:val="18"/>
          <w:color w:val="0000EE"/>
        </w:rPr>
      </w:pPr>
    </w:p>
    <w:p>
      <w:pPr>
        <w:spacing w:after="0" w:line="256" w:lineRule="auto"/>
        <w:rPr>
          <w:sz w:val="20"/>
          <w:szCs w:val="20"/>
          <w:color w:val="auto"/>
        </w:rPr>
      </w:pPr>
      <w:r>
        <w:rPr>
          <w:rFonts w:ascii="Times New Roman" w:cs="Times New Roman" w:eastAsia="Times New Roman" w:hAnsi="Times New Roman"/>
          <w:sz w:val="18"/>
          <w:szCs w:val="18"/>
          <w:color w:val="auto"/>
        </w:rPr>
        <w:t>This release relates to the proposed transaction. This release is for informational purposes only and is not intended to and shall not constitute an offer to buy, sell or exchange or the solicitation of an offer to buy, sell or exchange any securities, or a solicitation of any vote or approval, in any jurisdiction, pursuant to the proposed transaction or otherwise, nor shall there be any sale, issuance, exchange or transfer of the securities referred to in this document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19" Type="http://schemas.openxmlformats.org/officeDocument/2006/relationships/hyperlink" Target="http://www.sec.gov/ix?doc=/Archives/edgar/data/0000315852/000119312526067292/rrc-20251231.htm" TargetMode="External"/><Relationship Id="rId20" Type="http://schemas.openxmlformats.org/officeDocument/2006/relationships/hyperlink" Target="http://www.sec.gov/ix?doc=/Archives/edgar/data/0000315852/000119312526134699/rrc-20260325.htm" TargetMode="External"/><Relationship Id="rId21" Type="http://schemas.openxmlformats.org/officeDocument/2006/relationships/hyperlink" Target="http://www.sec.gov/ix?doc=/Archives/edgar/data/0000033213/000003321326000018/eqt-20251231.htm" TargetMode="External"/><Relationship Id="rId22" Type="http://schemas.openxmlformats.org/officeDocument/2006/relationships/hyperlink" Target="http://www.sec.gov/ix?doc=/Archives/edgar/data/0000033213/000110465926020027/tm261383-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2026-10-28T06:03:35Z</dcterms:created>
  <dcterms:modified xsi:type="dcterms:W3CDTF">2026-10-28T06:03:35Z</dcterms:modified>
</cp:coreProperties>
</file>