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40"/>
        <w:spacing w:after="0"/>
        <w:rPr>
          <w:sz w:val="20"/>
          <w:szCs w:val="20"/>
          <w:color w:val="auto"/>
        </w:rPr>
      </w:pPr>
      <w:r>
        <w:rPr>
          <w:rFonts w:ascii="Times New Roman" w:cs="Times New Roman" w:eastAsia="Times New Roman" w:hAnsi="Times New Roman"/>
          <w:sz w:val="17"/>
          <w:szCs w:val="17"/>
          <w:color w:val="auto"/>
        </w:rPr>
        <w:t>Filed by EQT Corporation</w:t>
      </w:r>
    </w:p>
    <w:p>
      <w:pPr>
        <w:spacing w:after="0" w:line="39" w:lineRule="exact"/>
        <w:rPr>
          <w:sz w:val="24"/>
          <w:szCs w:val="24"/>
          <w:color w:val="auto"/>
        </w:rPr>
      </w:pPr>
    </w:p>
    <w:p>
      <w:pPr>
        <w:ind w:left="8840"/>
        <w:spacing w:after="0"/>
        <w:rPr>
          <w:sz w:val="20"/>
          <w:szCs w:val="20"/>
          <w:color w:val="auto"/>
        </w:rPr>
      </w:pPr>
      <w:r>
        <w:rPr>
          <w:rFonts w:ascii="Times New Roman" w:cs="Times New Roman" w:eastAsia="Times New Roman" w:hAnsi="Times New Roman"/>
          <w:sz w:val="17"/>
          <w:szCs w:val="17"/>
          <w:color w:val="auto"/>
        </w:rPr>
        <w:t>(Commission File No. 001-3551)</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under</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 of</w:t>
      </w:r>
    </w:p>
    <w:p>
      <w:pPr>
        <w:spacing w:after="0" w:line="9" w:lineRule="exact"/>
        <w:rPr>
          <w:sz w:val="24"/>
          <w:szCs w:val="24"/>
          <w:color w:val="auto"/>
        </w:rPr>
      </w:pPr>
    </w:p>
    <w:p>
      <w:pPr>
        <w:ind w:left="8600"/>
        <w:spacing w:after="0"/>
        <w:rPr>
          <w:sz w:val="20"/>
          <w:szCs w:val="20"/>
          <w:color w:val="auto"/>
        </w:rPr>
      </w:pPr>
      <w:r>
        <w:rPr>
          <w:rFonts w:ascii="Times New Roman" w:cs="Times New Roman" w:eastAsia="Times New Roman" w:hAnsi="Times New Roman"/>
          <w:sz w:val="18"/>
          <w:szCs w:val="18"/>
          <w:color w:val="auto"/>
        </w:rPr>
        <w:t>the Securities Exchange Act of 1934</w:t>
      </w:r>
    </w:p>
    <w:p>
      <w:pPr>
        <w:spacing w:after="0" w:line="20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Range Resources Corporation</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001-12209)</w:t>
      </w:r>
    </w:p>
    <w:p>
      <w:pPr>
        <w:spacing w:after="0" w:line="203" w:lineRule="exact"/>
        <w:rPr>
          <w:sz w:val="24"/>
          <w:szCs w:val="24"/>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Set forth below is a transcript from an interview given by Toby Z. Rice, President and Chief Executive Officer of EQT Corporation (“EQT”), to CNBC on October 29, 2026 regarding EQT’s proposed acquisition (the “proposed transaction”) of Range Resources Corporation (“Range”) pursuant to the Agreement and Plan of Merger, dated as of October 25, 2026 (the “Merger Agreement”), by and among EQT, EQT Holdings LLC, Rhino Merger Sub Inc., Rhino Merger Sub LLC and Range:</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Brian Sullivan, CNBC:</w:t>
      </w:r>
    </w:p>
    <w:p>
      <w:pPr>
        <w:spacing w:after="0" w:line="225" w:lineRule="exact"/>
        <w:rPr>
          <w:sz w:val="24"/>
          <w:szCs w:val="24"/>
          <w:color w:val="auto"/>
        </w:rPr>
      </w:pPr>
    </w:p>
    <w:p>
      <w:pPr>
        <w:ind w:left="660" w:right="100"/>
        <w:spacing w:after="0" w:line="258" w:lineRule="auto"/>
        <w:rPr>
          <w:sz w:val="20"/>
          <w:szCs w:val="20"/>
          <w:color w:val="auto"/>
        </w:rPr>
      </w:pPr>
      <w:r>
        <w:rPr>
          <w:rFonts w:ascii="Times New Roman" w:cs="Times New Roman" w:eastAsia="Times New Roman" w:hAnsi="Times New Roman"/>
          <w:sz w:val="18"/>
          <w:szCs w:val="18"/>
          <w:color w:val="auto"/>
        </w:rPr>
        <w:t>Let’s talk about a major energy deal that happened earlier this week. Pittsburgh-based EQT is buying Range Resources in an all-stock deal valued at $13 billion, or about $50 billion including debt and enterprise value. This huge natural gas deal brings together two of the biggest producers in Pennsylvania and parts of Appalachia, and it easily creates the largest natural gas producer in the United States. Joining us now in a CNBC exclusive is EQT CEO Toby Rice. Toby, good to have you back on. Appreciate you joining us. Know It’s been a busy week. Why the deal? Why buy Range Resources?</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Toby Rice, EQT:</w:t>
      </w:r>
    </w:p>
    <w:p>
      <w:pPr>
        <w:spacing w:after="0" w:line="225" w:lineRule="exact"/>
        <w:rPr>
          <w:sz w:val="24"/>
          <w:szCs w:val="24"/>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The question is, what happens when you take America’s natural gas champion and bolt on one of the highest-quality asset bases right next door with Range Resources? When you combine those entities, you create America’s undisputed natural gas champion. Even with this premium that we paid, we’ve still been able to present a deal that is accretive on value metrics like free cash flow per share and nav per share.</w:t>
      </w:r>
    </w:p>
    <w:p>
      <w:pPr>
        <w:spacing w:after="0" w:line="176" w:lineRule="exact"/>
        <w:rPr>
          <w:sz w:val="24"/>
          <w:szCs w:val="24"/>
          <w:color w:val="auto"/>
        </w:rPr>
      </w:pPr>
    </w:p>
    <w:p>
      <w:pPr>
        <w:ind w:left="660" w:right="20"/>
        <w:spacing w:after="0" w:line="266" w:lineRule="auto"/>
        <w:rPr>
          <w:sz w:val="20"/>
          <w:szCs w:val="20"/>
          <w:color w:val="auto"/>
        </w:rPr>
      </w:pPr>
      <w:r>
        <w:rPr>
          <w:rFonts w:ascii="Times New Roman" w:cs="Times New Roman" w:eastAsia="Times New Roman" w:hAnsi="Times New Roman"/>
          <w:sz w:val="18"/>
          <w:szCs w:val="18"/>
          <w:color w:val="auto"/>
        </w:rPr>
        <w:t>Most importantly, we’ve created a higher-quality business that regardless of what metric that matters in creating value in energy, EQT is on the top of the charts across the board: cost structure, balance sheet strength, inventory depth, and marketing platform size. This is a company that’s positioned for really tremendous, sustainable growth potential.</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Brian Sullivan, CNBC:</w:t>
      </w:r>
    </w:p>
    <w:p>
      <w:pPr>
        <w:spacing w:after="0" w:line="225" w:lineRule="exact"/>
        <w:rPr>
          <w:sz w:val="24"/>
          <w:szCs w:val="24"/>
          <w:color w:val="auto"/>
        </w:rPr>
      </w:pPr>
    </w:p>
    <w:p>
      <w:pPr>
        <w:ind w:left="660" w:right="580"/>
        <w:spacing w:after="0" w:line="282" w:lineRule="auto"/>
        <w:rPr>
          <w:sz w:val="20"/>
          <w:szCs w:val="20"/>
          <w:color w:val="auto"/>
        </w:rPr>
      </w:pPr>
      <w:r>
        <w:rPr>
          <w:rFonts w:ascii="Times New Roman" w:cs="Times New Roman" w:eastAsia="Times New Roman" w:hAnsi="Times New Roman"/>
          <w:sz w:val="18"/>
          <w:szCs w:val="18"/>
          <w:color w:val="auto"/>
        </w:rPr>
        <w:t>I know they’re headquartered in Texas, but its operations are in your backyard: southwestern Pennsylvania and the Appalachian region. I’d imagine there are huge economies of scale and synergies available once the deal closes.</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Toby Rice, EQT:</w:t>
      </w:r>
    </w:p>
    <w:p>
      <w:pPr>
        <w:spacing w:after="0" w:line="225" w:lineRule="exact"/>
        <w:rPr>
          <w:sz w:val="24"/>
          <w:szCs w:val="24"/>
          <w:color w:val="auto"/>
        </w:rPr>
      </w:pPr>
    </w:p>
    <w:p>
      <w:pPr>
        <w:ind w:left="660" w:right="180"/>
        <w:spacing w:after="0" w:line="266" w:lineRule="auto"/>
        <w:rPr>
          <w:sz w:val="20"/>
          <w:szCs w:val="20"/>
          <w:color w:val="auto"/>
        </w:rPr>
      </w:pPr>
      <w:r>
        <w:rPr>
          <w:rFonts w:ascii="Times New Roman" w:cs="Times New Roman" w:eastAsia="Times New Roman" w:hAnsi="Times New Roman"/>
          <w:sz w:val="18"/>
          <w:szCs w:val="18"/>
          <w:color w:val="auto"/>
        </w:rPr>
        <w:t>Absolutely. This is an asset we are very familiar with. We’ve been watching Range Resources since they pioneered the Marcellus Shale 20 years ago, and they’ve been a world-class operator ever since. Because of the industrial logic of combining our asset bases is one of the reasons why people have been asking for this deal, and we’re happy to be able to bring that today.</w:t>
      </w:r>
    </w:p>
    <w:p>
      <w:pPr>
        <w:spacing w:after="0" w:line="176" w:lineRule="exact"/>
        <w:rPr>
          <w:sz w:val="24"/>
          <w:szCs w:val="24"/>
          <w:color w:val="auto"/>
        </w:rPr>
      </w:pPr>
    </w:p>
    <w:p>
      <w:pPr>
        <w:ind w:left="660" w:right="20"/>
        <w:spacing w:after="0" w:line="258" w:lineRule="auto"/>
        <w:rPr>
          <w:sz w:val="20"/>
          <w:szCs w:val="20"/>
          <w:color w:val="auto"/>
        </w:rPr>
      </w:pPr>
      <w:r>
        <w:rPr>
          <w:rFonts w:ascii="Times New Roman" w:cs="Times New Roman" w:eastAsia="Times New Roman" w:hAnsi="Times New Roman"/>
          <w:sz w:val="18"/>
          <w:szCs w:val="18"/>
          <w:color w:val="auto"/>
        </w:rPr>
        <w:t>That industrial logic drives a lot of the synergies we’ve identified, and those synergies will supercharge our ability to continue to grow on our free-cash-flow-per-share journey. The synergies that we’ve announced will be over $625 million in synergies. About half are base operating synergies, such as capturing corporate overhead. The other half are going to be really what the deal is all about which is capturing long-term upside. This is gonna be about optimizing midstream infrastructure and, most importantly, capturing the tremendous demand we see shaping up in the Appalachian Basin.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Brian Sullivan, CNBC:</w:t>
      </w:r>
    </w:p>
    <w:p>
      <w:pPr>
        <w:spacing w:after="0" w:line="225" w:lineRule="exact"/>
        <w:rPr>
          <w:sz w:val="20"/>
          <w:szCs w:val="20"/>
          <w:color w:val="auto"/>
        </w:rPr>
      </w:pPr>
    </w:p>
    <w:p>
      <w:pPr>
        <w:ind w:left="660" w:right="400"/>
        <w:spacing w:after="0" w:line="282" w:lineRule="auto"/>
        <w:rPr>
          <w:sz w:val="20"/>
          <w:szCs w:val="20"/>
          <w:color w:val="auto"/>
        </w:rPr>
      </w:pPr>
      <w:r>
        <w:rPr>
          <w:rFonts w:ascii="Times New Roman" w:cs="Times New Roman" w:eastAsia="Times New Roman" w:hAnsi="Times New Roman"/>
          <w:sz w:val="18"/>
          <w:szCs w:val="18"/>
          <w:color w:val="auto"/>
        </w:rPr>
        <w:t>Two more quick questions, since it’s a busy day. I know you’re not a pure AI company, but your gas powers the plants that power a lot of AI. You’re on the front lines of this. Are you seeing any slowdown in AI power-related demand?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Toby Rice, EQT:</w:t>
      </w:r>
    </w:p>
    <w:p>
      <w:pPr>
        <w:spacing w:after="0" w:line="225" w:lineRule="exact"/>
        <w:rPr>
          <w:sz w:val="20"/>
          <w:szCs w:val="20"/>
          <w:color w:val="auto"/>
        </w:rPr>
      </w:pPr>
    </w:p>
    <w:p>
      <w:pPr>
        <w:ind w:left="660"/>
        <w:spacing w:after="0" w:line="261" w:lineRule="auto"/>
        <w:rPr>
          <w:sz w:val="20"/>
          <w:szCs w:val="20"/>
          <w:color w:val="auto"/>
        </w:rPr>
      </w:pPr>
      <w:r>
        <w:rPr>
          <w:rFonts w:ascii="Times New Roman" w:cs="Times New Roman" w:eastAsia="Times New Roman" w:hAnsi="Times New Roman"/>
          <w:sz w:val="18"/>
          <w:szCs w:val="18"/>
          <w:color w:val="auto"/>
        </w:rPr>
        <w:t>Yeah Sully actually what we’re seeing is this momentum continues to grow. When you’re looking for energy in Appalachia, you are calling Appalachia’s natural gas champion EQT, and we’ve been assembled that demand. Alongside this deal that we’ve announced with Range, we put that forecast out there, we’re seeing what was 20 Bcf (billion cubic feet) per day has now grown to over 25 Bcf per day. Admittedly, that’s across a range of probabilities.</w:t>
      </w:r>
    </w:p>
    <w:p>
      <w:pPr>
        <w:spacing w:after="0" w:line="180" w:lineRule="exact"/>
        <w:rPr>
          <w:sz w:val="20"/>
          <w:szCs w:val="20"/>
          <w:color w:val="auto"/>
        </w:rPr>
      </w:pPr>
    </w:p>
    <w:p>
      <w:pPr>
        <w:ind w:left="660" w:right="60"/>
        <w:spacing w:after="0" w:line="256" w:lineRule="auto"/>
        <w:rPr>
          <w:sz w:val="20"/>
          <w:szCs w:val="20"/>
          <w:color w:val="auto"/>
        </w:rPr>
      </w:pPr>
      <w:r>
        <w:rPr>
          <w:rFonts w:ascii="Times New Roman" w:cs="Times New Roman" w:eastAsia="Times New Roman" w:hAnsi="Times New Roman"/>
          <w:sz w:val="18"/>
          <w:szCs w:val="18"/>
          <w:color w:val="auto"/>
        </w:rPr>
        <w:t>But when you look at what this deal does for EQT, combining Range Resources which produces about 2.5 Bcf per day, with a productive capacity of almost 5 Bcf per day. EQT produces 8 Bcf per day gross, with a productive capacity of 12 Bcf per day. Put those two together, and we have productive capacity of over 17 Bcf per day relative to this opportunity set. We’re not just positioned to take a piece of this demand. We’re looking to take a significant majority. And it’s only gonna happen with a world-class marketing team, a great midstream growth team, the ability to leverage the infrastructure we have in place that we can build in the future, and a continued commitment to providing the cheapest, most reliable energy to our customers.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Sullivan, CNBC:</w:t>
      </w:r>
    </w:p>
    <w:p>
      <w:pPr>
        <w:spacing w:after="0" w:line="225" w:lineRule="exact"/>
        <w:rPr>
          <w:sz w:val="20"/>
          <w:szCs w:val="20"/>
          <w:color w:val="auto"/>
        </w:rPr>
      </w:pPr>
    </w:p>
    <w:p>
      <w:pPr>
        <w:ind w:left="660" w:right="40"/>
        <w:spacing w:after="0" w:line="266" w:lineRule="auto"/>
        <w:rPr>
          <w:sz w:val="20"/>
          <w:szCs w:val="20"/>
          <w:color w:val="auto"/>
        </w:rPr>
      </w:pPr>
      <w:r>
        <w:rPr>
          <w:rFonts w:ascii="Times New Roman" w:cs="Times New Roman" w:eastAsia="Times New Roman" w:hAnsi="Times New Roman"/>
          <w:sz w:val="18"/>
          <w:szCs w:val="18"/>
          <w:color w:val="auto"/>
        </w:rPr>
        <w:t>Next week I’m covering a story I’ve been following for five years: Europe’s reliance on American natural gas to keep the lights and heat on, especially after the Nord Stream – somebody just randomly blew up the Nord stream. We still don’t know who but either way, how critical is your gas- American natural gas to Europe right now?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Toby Rice, EQT:</w:t>
      </w:r>
    </w:p>
    <w:p>
      <w:pPr>
        <w:spacing w:after="0" w:line="225" w:lineRule="exact"/>
        <w:rPr>
          <w:sz w:val="20"/>
          <w:szCs w:val="20"/>
          <w:color w:val="auto"/>
        </w:rPr>
      </w:pPr>
    </w:p>
    <w:p>
      <w:pPr>
        <w:ind w:left="660" w:right="220"/>
        <w:spacing w:after="0" w:line="312" w:lineRule="auto"/>
        <w:rPr>
          <w:sz w:val="20"/>
          <w:szCs w:val="20"/>
          <w:color w:val="auto"/>
        </w:rPr>
      </w:pPr>
      <w:r>
        <w:rPr>
          <w:rFonts w:ascii="Times New Roman" w:cs="Times New Roman" w:eastAsia="Times New Roman" w:hAnsi="Times New Roman"/>
          <w:sz w:val="17"/>
          <w:szCs w:val="17"/>
          <w:color w:val="auto"/>
        </w:rPr>
        <w:t>It’s absolutely critical. Just look at the price action since the Middle East conflict occured, where we saw 20% of the world’s LNG be prevented from entering the market. We’ve seen international natural gas prices move from about $10 to now they’re over $30 per million BTU.</w:t>
      </w:r>
    </w:p>
    <w:p>
      <w:pPr>
        <w:spacing w:after="0" w:line="140" w:lineRule="exact"/>
        <w:rPr>
          <w:sz w:val="20"/>
          <w:szCs w:val="20"/>
          <w:color w:val="auto"/>
        </w:rPr>
      </w:pPr>
    </w:p>
    <w:p>
      <w:pPr>
        <w:ind w:left="660" w:right="100"/>
        <w:spacing w:after="0" w:line="256" w:lineRule="auto"/>
        <w:rPr>
          <w:sz w:val="20"/>
          <w:szCs w:val="20"/>
          <w:color w:val="auto"/>
        </w:rPr>
      </w:pPr>
      <w:r>
        <w:rPr>
          <w:rFonts w:ascii="Times New Roman" w:cs="Times New Roman" w:eastAsia="Times New Roman" w:hAnsi="Times New Roman"/>
          <w:sz w:val="18"/>
          <w:szCs w:val="18"/>
          <w:color w:val="auto"/>
        </w:rPr>
        <w:t>What’s most important for viewers at home to recognize is that thankfully, thanks to our energy independence thanks to the great work that pioneers like Range Resources and EQT have done to bring energy independence to America, we have safeguarded Americans from these geopolitical shocks when it comes to natural gas. While prices internationally are $30, in the U.S they’re about $3. That is giving a tremendous economic advantage to American consumers something we’re incredibly proud of that. But America’s energy security is dependent on global energy security. We need to continue to unleash U.S. LNG to provide energy security to the world while creating more economic stability for this country.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Sullivan, CNBC:</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Toby Rice, CEO of EQT, with a big $50 billion deal for Range Resources. Toby, we appreciate you taking the time. Thank you very much.</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Statements Regarding Forward-Looking Statements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the federal securities laws. Statements that do not relate strictly to historical or current facts are forward-looking and are usually identified by the use of words such as “anticipates,” “believes,” “cause,” “continue,” “could,” “depend,” “develop,” “estimates,” “expects,” “forecasts,” “goal,” “guidance,” “have,” “impact,” “implement,” “increase,” “intends,” “lead,” “maintain,” “may,” “might,” “plans,” “potential,” “possible,” “projected,” “reduce,” “remain,” “result,” “scheduled,” “seek,” “should,” “will,” “would” and other similar words or expressions. The absence of such words or expressions does not necessarily mean the statements are not forward-looking. Without limiting the generality of the foregoing, forward-looking statements in this communication may include statements regarding the proposed transaction between EQT and Range, the expected closing of the proposed transaction and the timing thereof and the pro forma combined company and its operations, strategies and plans, integration, debt levels and leverage ratio, capital expenditures, enterprise value, cash flows and anticipated uses thereof, synergies, opportunities and anticipated future performance, expected accretion to earnings and free cash flow and anticipated dividends. Information adjusted for the proposed transaction should not be considered a forecast of future results.</w:t>
      </w:r>
    </w:p>
    <w:p>
      <w:pPr>
        <w:spacing w:after="0" w:line="194"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Forward-looking statements contained herein reflect the current views of EQT and Range about future events. Although EQT believes its forward-looking statements are based on reasonable expectations and assumptions, statements made regarding future results are not guarantees of future performance and are inherently subject to significant business, economic, competitive, regulatory and other risks and uncertainties, many of which are difficult to predict and beyond EQT’s and Range’s control. Actual outcomes and results may be materially different from the results stated or implied in the forward-looking statements included in this communication due to a number of factors, including, but not limited to: the occurrence of any event, change or other circumstances that could give rise to the termination of the Merger Agreement; the possibility that shareholders of EQT may not approve the issuance of the shares of EQT’s common stock in connection with the proposed transaction; the possibility that the stockholders of Range may not adopt the Merger Agreement; the risk that EQT or Range may be unable to obtain governmental and regulatory approvals required for the proposed transaction, or required governmental and regulatory approvals may delay the proposed transaction or result in the imposition of conditions that could cause the parties to abandon the proposed transaction; the risk that the parties may not be able to satisfy the conditions to the proposed transaction in a timely manner or at all; risks related to disruption of management’s time from ongoing business operations due to the proposed transaction; the risk that any announcements relating to the proposed transaction could have adverse effects on the market price of EQT’s or Range’s common stock; the risk of any unexpected costs or expenses resulting from the proposed transaction; the risk of any litigation relating to the proposed transaction; the risk that the proposed transaction and its announcement could have an adverse effect on the ability of EQT and Range to retain and hire key personnel, on the ability of EQT or Range to attract third-party customers and maintain their relationships with derivatives and joint venture counterparties and on EQT’s and Range’s operating results and businesses generally; the risk that problems may arise in successfully integrating the businesses of EQT and Range, which may result in the combined company not operating as effectively and efficiently as expected; the risk that the combined company may be unable to achieve synergies or other anticipated benefits of the proposed transaction or it may take longer than expected to achieve those synergies or benefits and other important factors that could cause actual results to differ materially from those projected; the volatility in commodity prices for crude oil and natural gas; the effect of future regulatory or legislative actions on EQT and Range or the industry in which they operate, including the risk of new restrictions with respect to oil and natural gas development activities; the risk that the credit ratings of the combined business may be different from what EQT and Range expect; the ability of management to execute its plans to meet its goals and other risks inherent in EQT’s and Range’s businesses; public health crises and any related government policies and actions; the potential disruption or interruption of EQT’s or Range’s operations due to war, accidents, political events, civil unrest, severe weather, cyber threats, terrorist acts, or other natural or human causes beyond EQT’s or Range’s control; and the combined company’s ability to identify and mitigate the risks and hazards inherent in operating in the global energy industry. Additional information concerning risk factors is contained in EQT’s and Range’s Annual Reports on Form 10-K for the year ended December 31, 2025 and subsequent Quarterly Reports on Form 10-Q and Current Reports on Form 8-K. All such factors are difficult to predict and are beyond EQT’s and Range’s control. Additional risks or uncertainties that are not currently known to EQT or Range, that EQT or Range currently deem to be immaterial, or that could apply to any company could also cause actual outcomes and results to differ materially from those included in the forward-looking statements in this communication.</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such statement is made. EQT and Range undertake no obligation to publicly correct or update the forward-looking statements in this communication, in other documents or on their respective websites to reflect new information, future events or otherwise, except as required by applicable law. All such statements are expressly qualified by this cautionary statement. Readers are cautioned not to place undue reliance on these forward-looking statements as a prediction of actual results.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Important Information for Investors and Shareholders; Additional Information and Where to Find It</w:t>
      </w:r>
    </w:p>
    <w:p>
      <w:pPr>
        <w:spacing w:after="0" w:line="229"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7"/>
          <w:szCs w:val="17"/>
          <w:color w:val="auto"/>
        </w:rPr>
        <w:t>In connection with the proposed transaction, EQT intends to file with the U.S. Securities and Exchange Commission (the “SEC”) a registration statement on Form S-4 (the “registration statement”) that will include a joint proxy statement of EQT and Range and that will also constitute a prospectus of EQT (the “joint proxy statement/prospectus”). EQT and Range also intend to file other relevant documents regarding the proposed transaction with the SEC. This communication is not a substitute for the joint proxy statement/prospectus or the registration statement. BEFORE MAKING ANY VOTING OR INVESTMENT DECISION, INVESTORS AND SECURITY HOLDERS OF EQT AND RANGE ARE URGED TO READ THE REGISTRATION STATEMENT, THE JOINT PROXY STATEMENT/PROSPECTUS AND ALL OTHER RELEVANT DOCUMENTS FILED OR THAT MAY BE FILED WITH THE SEC IN CONNECTION WITH THE PROPOSED TRANSACTION, AS WELL AS ANY AMENDMENTS OR SUPPLEMENTS TO THOSE DOCUMENTS, CAREFULLY AND IN THEIR ENTIRETY IF AND WHEN THEY BECOME AVAILABLE BECAUSE THEY CONTAIN OR WILL CONTAIN IMPORTANT INFORMATION ABOUT EQT, RANGE, THE PROPOSED TRANSACTION, THE RISKS THERETO AND RELATED MATTERS. After the registration statement has been declared effective, a definitive joint proxy statement/prospectus will be mailed to the shareholders of EQT and the stockholders of Range. Investors and security holders will be able to obtain free copies of the registration statement and joint proxy statement/prospectus and other relevant documents filed or that will be filed with the SEC by EQT or Range through the website maintained by the SEC at www.sec.gov. Copies of the documents filed with the SEC by EQT may be obtained free of charge on EQT’s website at ir.eqt.com/investor-relations. Copies of the documents filed with the SEC by Range may be obtained free of charge on Range’s website at ir.rangeresources.com. The information included on, or accessible through, EQT’s or Range’s website is not incorporated by reference into this communication.</w:t>
      </w:r>
    </w:p>
    <w:p>
      <w:pPr>
        <w:spacing w:after="0" w:line="3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EQT and Range and their respective directors, executive officers and other members of management and employees may be deemed to be participants in the solicitation of proxies in connection with the proposed transaction contemplated by the joint proxy statement/prospectus. Information regarding EQT’s directors and executive officers and their ownership of EQT’s securities is set forth in EQT’s filings with the SEC, including EQT’s Annual Report on Form 10-K for the fiscal year ended December 31, 2025 that was filed with the SEC on February 18, 2026 (and which is available at https://www.sec.gov/ix?doc=/Archives/edgar/data/0000033213/000003321326000018/eqt-20251231.htm) and its Definitive Proxy Statement on Schedule 14A that was filed with the SEC on February 26, 2026 (and which is available at https://www.sec.gov/ix? doc=/Archives/edgar/data/0000033213/000110465926020027/tm261383-1_def14a.htm). To the extent such person’s ownership of EQT’s securities has changed since the filing of such proxy statement, such changes have been or will be reflected on Statements of Changes in Beneficial Ownership on Form 4 filed with the SEC. Information regarding Range’s directors and executive officers and their ownership of Range’s securities is set forth in Range’s filings with the SEC, including Range’s Annual Report on Form 10-K for the fiscal year ended December 31, 2025 that was filed with the SEC on February 24, 2026 (and which is available at https://www.sec.gov/ix?doc=/Archives/edgar/data/0000315852/000119312526067292/rrc-20251231.htm) and its Definitive Proxy Statement on Schedule 14A that was filed with the SEC on March 31, 2026 (and which is available at https://www.sec.gov/ix? doc=/Archives/edgar/data/0000315852/000119312526134699/rrc-20260325.htm). To the extent such person’s ownership of Range’s securities has changed since the filing of such proxy statement, such changes have been or will be reflected on Statements of Changes in Beneficial Ownership on Form 4 filed with the SEC. Additional information regarding the interests of those persons and other persons who may be deemed participants in the proposed transaction may be obtained by reading the joint proxy statement/prospectus and other relevant materials that will be filed with the SEC regarding the proposed transaction when such documents become available. You may obtain free copies of these documents as described in the preceding paragraph.</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This communication relates to the proposed transaction. This communication is for informational purposes only and is not intended to and shall not constitute an offer to buy, sell or exchange, or the solicitation of an offer to buy, sell or exchange, any securities or a solicitation of any vote or approval, in any jurisdiction, pursuant to the proposed transaction or otherwise, nor shall there be any sale, issuance, exchange or transfer of the securities referred to in this communication in any jurisdiction in contravention of applicable law. No offer of securities shall be made except by means of a prospectus meeting the requirements of Section 10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2026-10-29T15:41:18Z</dcterms:created>
  <dcterms:modified xsi:type="dcterms:W3CDTF">2026-10-29T15:41:18Z</dcterms:modified>
</cp:coreProperties>
</file>