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RANGE RESOURCES CORPORATION</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440" w:type="dxa"/>
        <w:tblCellMar>
          <w:top w:w="0" w:type="dxa"/>
          <w:left w:w="0" w:type="dxa"/>
          <w:bottom w:w="0" w:type="dxa"/>
          <w:right w:w="0" w:type="dxa"/>
        </w:tblCellMar>
      </w:tblPr>
      <w:tr>
        <w:trPr>
          <w:trHeight w:val="214"/>
        </w:trPr>
        <w:tc>
          <w:tcPr>
            <w:tcW w:w="3600" w:type="dxa"/>
            <w:vAlign w:val="bottom"/>
          </w:tcPr>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001-12209</w:t>
            </w:r>
          </w:p>
        </w:tc>
        <w:tc>
          <w:tcPr>
            <w:tcW w:w="23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34-1312571</w:t>
            </w:r>
          </w:p>
        </w:tc>
      </w:tr>
      <w:tr>
        <w:trPr>
          <w:trHeight w:val="148"/>
        </w:trPr>
        <w:tc>
          <w:tcPr>
            <w:tcW w:w="3600" w:type="dxa"/>
            <w:vAlign w:val="bottom"/>
          </w:tcPr>
          <w:p>
            <w:pPr>
              <w:jc w:val="center"/>
              <w:ind w:right="6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580" w:type="dxa"/>
            <w:vAlign w:val="bottom"/>
          </w:tcPr>
          <w:p>
            <w:pPr>
              <w:spacing w:after="0"/>
              <w:rPr>
                <w:sz w:val="12"/>
                <w:szCs w:val="12"/>
                <w:color w:val="auto"/>
              </w:rPr>
            </w:pPr>
          </w:p>
        </w:tc>
        <w:tc>
          <w:tcPr>
            <w:tcW w:w="2300" w:type="dxa"/>
            <w:vAlign w:val="bottom"/>
          </w:tcPr>
          <w:p>
            <w:pPr>
              <w:jc w:val="center"/>
              <w:ind w:left="11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4"/>
        </w:trPr>
        <w:tc>
          <w:tcPr>
            <w:tcW w:w="3600" w:type="dxa"/>
            <w:vAlign w:val="bottom"/>
          </w:tcPr>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58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600" w:type="dxa"/>
            <w:vAlign w:val="bottom"/>
          </w:tcPr>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100 Throckmorton Street, Suite 1200</w:t>
            </w:r>
          </w:p>
        </w:tc>
        <w:tc>
          <w:tcPr>
            <w:tcW w:w="35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7"/>
        </w:trPr>
        <w:tc>
          <w:tcPr>
            <w:tcW w:w="3600" w:type="dxa"/>
            <w:vAlign w:val="bottom"/>
          </w:tcPr>
          <w:p>
            <w:pPr>
              <w:jc w:val="center"/>
              <w:ind w:right="659"/>
              <w:spacing w:after="0"/>
              <w:rPr>
                <w:sz w:val="20"/>
                <w:szCs w:val="20"/>
                <w:color w:val="auto"/>
              </w:rPr>
            </w:pPr>
            <w:r>
              <w:rPr>
                <w:rFonts w:ascii="Times New Roman" w:cs="Times New Roman" w:eastAsia="Times New Roman" w:hAnsi="Times New Roman"/>
                <w:sz w:val="18"/>
                <w:szCs w:val="18"/>
                <w:b w:val="1"/>
                <w:bCs w:val="1"/>
                <w:color w:val="auto"/>
                <w:w w:val="98"/>
              </w:rPr>
              <w:t>Fort Worth, Texas</w:t>
            </w:r>
          </w:p>
        </w:tc>
        <w:tc>
          <w:tcPr>
            <w:tcW w:w="3580" w:type="dxa"/>
            <w:vAlign w:val="bottom"/>
          </w:tcPr>
          <w:p>
            <w:pPr>
              <w:spacing w:after="0"/>
              <w:rPr>
                <w:sz w:val="19"/>
                <w:szCs w:val="19"/>
                <w:color w:val="auto"/>
              </w:rPr>
            </w:pPr>
          </w:p>
        </w:tc>
        <w:tc>
          <w:tcPr>
            <w:tcW w:w="2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190"/>
        </w:trPr>
        <w:tc>
          <w:tcPr>
            <w:tcW w:w="3600" w:type="dxa"/>
            <w:vAlign w:val="bottom"/>
          </w:tcPr>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(817) 870-2601</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4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RRC</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Annual Meeting of Stockholders of Range Resources Corporation (the "Company") was held on Wednesday, May 13, 2026 at 8:00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Time. As of March 16, 2026, the record date for the Annual Meeting, there were 235,484,929 shares of the Company's common stock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quorum of 217,983,195 shares of the Company's common stock was present or represented at the meeting.</w:t>
      </w:r>
    </w:p>
    <w:p>
      <w:pPr>
        <w:spacing w:after="0" w:line="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matters submitted to a vote of the Company's stockholders at the Annual Meeting were as follows:</w:t>
      </w:r>
    </w:p>
    <w:p>
      <w:pPr>
        <w:spacing w:after="0" w:line="117" w:lineRule="exact"/>
        <w:rPr>
          <w:sz w:val="20"/>
          <w:szCs w:val="20"/>
          <w:color w:val="auto"/>
        </w:rPr>
      </w:pPr>
    </w:p>
    <w:p>
      <w:pPr>
        <w:ind w:left="10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elected each of the Company's seven nominees for director to serve a term of one year to expire at the 2027 Annual Meeting or until their successors are duly elected and qualified, as set forth below:</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60" w:type="dxa"/>
            <w:vAlign w:val="bottom"/>
          </w:tcPr>
          <w:p>
            <w:pPr>
              <w:spacing w:after="0"/>
              <w:rPr>
                <w:sz w:val="20"/>
                <w:szCs w:val="20"/>
                <w:color w:val="auto"/>
              </w:rPr>
            </w:pPr>
          </w:p>
        </w:tc>
        <w:tc>
          <w:tcPr>
            <w:tcW w:w="1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20" w:type="dxa"/>
            <w:vAlign w:val="bottom"/>
          </w:tcPr>
          <w:p>
            <w:pPr>
              <w:spacing w:after="0"/>
              <w:rPr>
                <w:sz w:val="20"/>
                <w:szCs w:val="20"/>
                <w:color w:val="auto"/>
              </w:rPr>
            </w:pPr>
          </w:p>
        </w:tc>
        <w:tc>
          <w:tcPr>
            <w:tcW w:w="1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191"/>
        </w:trPr>
        <w:tc>
          <w:tcPr>
            <w:tcW w:w="2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Brenda A. Cline</w:t>
            </w:r>
          </w:p>
        </w:tc>
        <w:tc>
          <w:tcPr>
            <w:tcW w:w="120" w:type="dxa"/>
            <w:vAlign w:val="bottom"/>
          </w:tcPr>
          <w:p>
            <w:pPr>
              <w:spacing w:after="0"/>
              <w:rPr>
                <w:sz w:val="16"/>
                <w:szCs w:val="16"/>
                <w:color w:val="auto"/>
              </w:rPr>
            </w:pPr>
          </w:p>
        </w:tc>
        <w:tc>
          <w:tcPr>
            <w:tcW w:w="1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197,028,318</w:t>
            </w:r>
          </w:p>
        </w:tc>
        <w:tc>
          <w:tcPr>
            <w:tcW w:w="260" w:type="dxa"/>
            <w:vAlign w:val="bottom"/>
          </w:tcPr>
          <w:p>
            <w:pPr>
              <w:spacing w:after="0"/>
              <w:rPr>
                <w:sz w:val="16"/>
                <w:szCs w:val="16"/>
                <w:color w:val="auto"/>
              </w:rPr>
            </w:pPr>
          </w:p>
        </w:tc>
        <w:tc>
          <w:tcPr>
            <w:tcW w:w="1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1,880,065</w:t>
            </w:r>
          </w:p>
        </w:tc>
        <w:tc>
          <w:tcPr>
            <w:tcW w:w="220" w:type="dxa"/>
            <w:vAlign w:val="bottom"/>
          </w:tcPr>
          <w:p>
            <w:pPr>
              <w:spacing w:after="0"/>
              <w:rPr>
                <w:sz w:val="16"/>
                <w:szCs w:val="16"/>
                <w:color w:val="auto"/>
              </w:rPr>
            </w:pPr>
          </w:p>
        </w:tc>
        <w:tc>
          <w:tcPr>
            <w:tcW w:w="1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248,987</w:t>
            </w:r>
          </w:p>
        </w:tc>
        <w:tc>
          <w:tcPr>
            <w:tcW w:w="220" w:type="dxa"/>
            <w:vAlign w:val="bottom"/>
          </w:tcPr>
          <w:p>
            <w:pPr>
              <w:spacing w:after="0"/>
              <w:rPr>
                <w:sz w:val="16"/>
                <w:szCs w:val="16"/>
                <w:color w:val="auto"/>
              </w:rPr>
            </w:pPr>
          </w:p>
        </w:tc>
        <w:tc>
          <w:tcPr>
            <w:tcW w:w="1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18,825,825</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Margaret K. Dorman</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196,953,818</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1,933,854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269,698</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18,825,825</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Charles G. Griffie</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196,614,400</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2,162,623</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380,347</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18,825,825</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Christian S. Kendall</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197,085,429</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1,821,084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250,857</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18,825,825</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Greg G. Maxwell</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197,191,042</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1,714,564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251,764</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18,825,825</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Reginal W. Spiller</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192,242,484</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6,578,724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336,162</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18,825,825</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Dennis L. Degner</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197,675,501</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503,118</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978,751</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18,825,825</w:t>
            </w:r>
          </w:p>
        </w:tc>
      </w:tr>
    </w:tbl>
    <w:p>
      <w:pPr>
        <w:spacing w:after="0" w:line="306" w:lineRule="exact"/>
        <w:rPr>
          <w:sz w:val="20"/>
          <w:szCs w:val="20"/>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approved, on an advisory basis, the compensation philosophy, policies and procedures for the Company's Named Executive Officers ("say-on-pay"), as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0" w:type="dxa"/>
            <w:vAlign w:val="bottom"/>
          </w:tcPr>
          <w:p>
            <w:pPr>
              <w:spacing w:after="0"/>
              <w:rPr>
                <w:sz w:val="20"/>
                <w:szCs w:val="20"/>
                <w:color w:val="auto"/>
              </w:rPr>
            </w:pPr>
          </w:p>
        </w:tc>
        <w:tc>
          <w:tcPr>
            <w:tcW w:w="25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60" w:type="dxa"/>
            <w:vAlign w:val="bottom"/>
          </w:tcPr>
          <w:p>
            <w:pPr>
              <w:spacing w:after="0"/>
              <w:rPr>
                <w:sz w:val="20"/>
                <w:szCs w:val="20"/>
                <w:color w:val="auto"/>
              </w:rPr>
            </w:pPr>
          </w:p>
        </w:tc>
        <w:tc>
          <w:tcPr>
            <w:tcW w:w="2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0" w:type="dxa"/>
            <w:vAlign w:val="bottom"/>
          </w:tcPr>
          <w:p>
            <w:pPr>
              <w:spacing w:after="0"/>
              <w:rPr>
                <w:sz w:val="20"/>
                <w:szCs w:val="20"/>
                <w:color w:val="auto"/>
              </w:rPr>
            </w:pPr>
          </w:p>
        </w:tc>
        <w:tc>
          <w:tcPr>
            <w:tcW w:w="26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196,405,772</w:t>
            </w:r>
          </w:p>
        </w:tc>
        <w:tc>
          <w:tcPr>
            <w:tcW w:w="2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2,380,407</w:t>
            </w:r>
          </w:p>
        </w:tc>
        <w:tc>
          <w:tcPr>
            <w:tcW w:w="26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371,191</w:t>
            </w:r>
          </w:p>
        </w:tc>
        <w:tc>
          <w:tcPr>
            <w:tcW w:w="260" w:type="dxa"/>
            <w:vAlign w:val="bottom"/>
          </w:tcPr>
          <w:p>
            <w:pPr>
              <w:spacing w:after="0"/>
              <w:rPr>
                <w:sz w:val="19"/>
                <w:szCs w:val="19"/>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18,825,825</w:t>
            </w:r>
          </w:p>
        </w:tc>
      </w:tr>
    </w:tbl>
    <w:p>
      <w:pPr>
        <w:spacing w:after="0" w:line="287" w:lineRule="exact"/>
        <w:rPr>
          <w:sz w:val="20"/>
          <w:szCs w:val="20"/>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ratified the selection of Ernst &amp; Young LLP as the Company's independent registered public accounting firm as of and for the fiscal year ending December 31, 2026, as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22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00" w:type="dxa"/>
            <w:vAlign w:val="bottom"/>
          </w:tcPr>
          <w:p>
            <w:pPr>
              <w:spacing w:after="0"/>
              <w:rPr>
                <w:sz w:val="20"/>
                <w:szCs w:val="20"/>
                <w:color w:val="auto"/>
              </w:rPr>
            </w:pPr>
          </w:p>
        </w:tc>
        <w:tc>
          <w:tcPr>
            <w:tcW w:w="22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00" w:type="dxa"/>
            <w:vAlign w:val="bottom"/>
          </w:tcPr>
          <w:p>
            <w:pPr>
              <w:spacing w:after="0"/>
              <w:rPr>
                <w:sz w:val="20"/>
                <w:szCs w:val="20"/>
                <w:color w:val="auto"/>
              </w:rPr>
            </w:pPr>
          </w:p>
        </w:tc>
        <w:tc>
          <w:tcPr>
            <w:tcW w:w="432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28"/>
        </w:trPr>
        <w:tc>
          <w:tcPr>
            <w:tcW w:w="1980" w:type="dxa"/>
            <w:vAlign w:val="bottom"/>
          </w:tcPr>
          <w:p>
            <w:pPr>
              <w:spacing w:after="0"/>
              <w:rPr>
                <w:sz w:val="19"/>
                <w:szCs w:val="19"/>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214,254,666</w:t>
            </w:r>
          </w:p>
        </w:tc>
        <w:tc>
          <w:tcPr>
            <w:tcW w:w="200" w:type="dxa"/>
            <w:vAlign w:val="bottom"/>
          </w:tcPr>
          <w:p>
            <w:pPr>
              <w:spacing w:after="0"/>
              <w:rPr>
                <w:sz w:val="19"/>
                <w:szCs w:val="19"/>
                <w:color w:val="auto"/>
              </w:rPr>
            </w:pP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3,364,438</w:t>
            </w:r>
          </w:p>
        </w:tc>
        <w:tc>
          <w:tcPr>
            <w:tcW w:w="200" w:type="dxa"/>
            <w:vAlign w:val="bottom"/>
          </w:tcPr>
          <w:p>
            <w:pPr>
              <w:spacing w:after="0"/>
              <w:rPr>
                <w:sz w:val="19"/>
                <w:szCs w:val="19"/>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364,091</w:t>
            </w:r>
          </w:p>
        </w:tc>
        <w:tc>
          <w:tcPr>
            <w:tcW w:w="2060" w:type="dxa"/>
            <w:vAlign w:val="bottom"/>
          </w:tcPr>
          <w:p>
            <w:pPr>
              <w:spacing w:after="0"/>
              <w:rPr>
                <w:sz w:val="19"/>
                <w:szCs w:val="19"/>
                <w:color w:val="auto"/>
              </w:rPr>
            </w:pPr>
          </w:p>
        </w:tc>
      </w:tr>
      <w:tr>
        <w:trPr>
          <w:trHeight w:val="427"/>
        </w:trPr>
        <w:tc>
          <w:tcPr>
            <w:tcW w:w="1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8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763"/>
        </w:trPr>
        <w:tc>
          <w:tcPr>
            <w:tcW w:w="19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RANGE RESOURCES CORPORATION</w:t>
      </w:r>
    </w:p>
    <w:p>
      <w:pPr>
        <w:spacing w:after="0" w:line="225" w:lineRule="exact"/>
        <w:rPr>
          <w:sz w:val="20"/>
          <w:szCs w:val="20"/>
          <w:color w:val="auto"/>
        </w:rPr>
      </w:pPr>
    </w:p>
    <w:tbl>
      <w:tblPr>
        <w:tblLayout w:type="fixed"/>
        <w:tblInd w:w="64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S. Scucchi</w:t>
            </w:r>
          </w:p>
        </w:tc>
      </w:tr>
      <w:tr>
        <w:trPr>
          <w:trHeight w:val="189"/>
        </w:trPr>
        <w:tc>
          <w:tcPr>
            <w:tcW w:w="680" w:type="dxa"/>
            <w:vAlign w:val="bottom"/>
          </w:tcPr>
          <w:p>
            <w:pPr>
              <w:spacing w:after="0"/>
              <w:rPr>
                <w:sz w:val="16"/>
                <w:szCs w:val="16"/>
                <w:color w:val="auto"/>
              </w:rPr>
            </w:pPr>
          </w:p>
        </w:tc>
        <w:tc>
          <w:tcPr>
            <w:tcW w:w="4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Mark S. Scucchi</w:t>
            </w:r>
          </w:p>
        </w:tc>
      </w:tr>
      <w:tr>
        <w:trPr>
          <w:trHeight w:val="236"/>
        </w:trPr>
        <w:tc>
          <w:tcPr>
            <w:tcW w:w="6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&amp;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2026-05-13T15:36:09Z</dcterms:created>
  <dcterms:modified xsi:type="dcterms:W3CDTF">2026-05-13T15:36:09Z</dcterms:modified>
</cp:coreProperties>
</file>